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kern w:val="2"/>
          <w:sz w:val="36"/>
          <w:szCs w:val="36"/>
          <w:u w:val="none"/>
          <w:lang w:val="en-US" w:eastAsia="zh-CN" w:bidi="ar-SA"/>
        </w:rPr>
      </w:pPr>
      <w:bookmarkStart w:id="0" w:name="OLE_LINK3"/>
      <w:r>
        <w:rPr>
          <w:rFonts w:hint="eastAsia" w:asciiTheme="majorEastAsia" w:hAnsiTheme="majorEastAsia" w:eastAsiaTheme="majorEastAsia" w:cstheme="majorEastAsia"/>
          <w:b/>
          <w:kern w:val="2"/>
          <w:sz w:val="36"/>
          <w:szCs w:val="36"/>
          <w:u w:val="none"/>
          <w:lang w:val="en-US" w:eastAsia="zh-CN" w:bidi="ar-SA"/>
        </w:rPr>
        <w:t>福建省南安抽水蓄能电站</w:t>
      </w:r>
    </w:p>
    <w:bookmarkEnd w:id="0"/>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kern w:val="2"/>
          <w:sz w:val="36"/>
          <w:szCs w:val="36"/>
          <w:u w:val="none"/>
          <w:lang w:val="en-US" w:eastAsia="zh-CN" w:bidi="ar-SA"/>
        </w:rPr>
      </w:pPr>
      <w:bookmarkStart w:id="1" w:name="OLE_LINK2"/>
      <w:bookmarkStart w:id="2" w:name="OLE_LINK1"/>
      <w:r>
        <w:rPr>
          <w:rFonts w:hint="eastAsia" w:asciiTheme="majorEastAsia" w:hAnsiTheme="majorEastAsia" w:eastAsiaTheme="majorEastAsia" w:cstheme="majorEastAsia"/>
          <w:b/>
          <w:kern w:val="2"/>
          <w:sz w:val="36"/>
          <w:szCs w:val="36"/>
          <w:u w:val="none"/>
          <w:lang w:val="en-US" w:eastAsia="zh-CN" w:bidi="ar-SA"/>
        </w:rPr>
        <w:t>临时界桩项目补充工作</w:t>
      </w:r>
      <w:bookmarkEnd w:id="1"/>
      <w:r>
        <w:rPr>
          <w:rFonts w:hint="eastAsia" w:asciiTheme="majorEastAsia" w:hAnsiTheme="majorEastAsia" w:eastAsiaTheme="majorEastAsia" w:cstheme="majorEastAsia"/>
          <w:b/>
          <w:kern w:val="2"/>
          <w:sz w:val="36"/>
          <w:szCs w:val="36"/>
          <w:u w:val="none"/>
          <w:lang w:val="en-US" w:eastAsia="zh-CN" w:bidi="ar-SA"/>
        </w:rPr>
        <w:t>技术要求</w:t>
      </w:r>
    </w:p>
    <w:bookmarkEnd w:id="2"/>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Times New Roman"/>
          <w:b/>
          <w:kern w:val="2"/>
          <w:sz w:val="32"/>
          <w:szCs w:val="32"/>
          <w:u w:val="none"/>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textAlignment w:val="auto"/>
        <w:outlineLvl w:val="9"/>
        <w:rPr>
          <w:sz w:val="24"/>
          <w:szCs w:val="24"/>
        </w:rPr>
      </w:pPr>
      <w:bookmarkStart w:id="3" w:name="_Toc33436845"/>
      <w:bookmarkStart w:id="4" w:name="_Toc33436031"/>
      <w:bookmarkStart w:id="5" w:name="_Toc33435059"/>
      <w:bookmarkStart w:id="6" w:name="_Toc483940515"/>
      <w:bookmarkStart w:id="7" w:name="_Toc483940861"/>
      <w:r>
        <w:rPr>
          <w:rFonts w:hint="eastAsia"/>
          <w:sz w:val="24"/>
          <w:szCs w:val="24"/>
          <w:lang w:val="en-US" w:eastAsia="zh-CN"/>
        </w:rPr>
        <w:t>1、</w:t>
      </w:r>
      <w:r>
        <w:rPr>
          <w:sz w:val="24"/>
          <w:szCs w:val="24"/>
        </w:rPr>
        <w:t>项目概况</w:t>
      </w:r>
      <w:bookmarkEnd w:id="3"/>
      <w:bookmarkEnd w:id="4"/>
      <w:bookmarkEnd w:id="5"/>
    </w:p>
    <w:bookmarkEnd w:id="6"/>
    <w:bookmarkEnd w:id="7"/>
    <w:p>
      <w:pPr>
        <w:tabs>
          <w:tab w:val="left" w:pos="525"/>
        </w:tabs>
        <w:autoSpaceDE/>
        <w:autoSpaceDN/>
        <w:spacing w:line="360" w:lineRule="auto"/>
        <w:ind w:firstLine="480" w:firstLineChars="200"/>
        <w:jc w:val="both"/>
        <w:rPr>
          <w:rFonts w:hint="eastAsia" w:ascii="Times New Roman" w:hAnsi="Times New Roman" w:eastAsia="宋体" w:cs="Times New Roman"/>
          <w:bCs/>
          <w:kern w:val="2"/>
          <w:sz w:val="24"/>
          <w:szCs w:val="24"/>
          <w:lang w:eastAsia="zh-CN" w:bidi="ar-SA"/>
        </w:rPr>
      </w:pPr>
      <w:r>
        <w:rPr>
          <w:rFonts w:hint="eastAsia" w:ascii="Times New Roman" w:hAnsi="Times New Roman" w:eastAsia="宋体" w:cs="Times New Roman"/>
          <w:bCs/>
          <w:kern w:val="2"/>
          <w:sz w:val="24"/>
          <w:szCs w:val="24"/>
          <w:lang w:eastAsia="zh-CN" w:bidi="ar-SA"/>
        </w:rPr>
        <w:t>福建省南安水蓄能电站位于南安市东田镇，站址直线距泉州市 30km，距厦门市50km。工程对外交通较为便利。</w:t>
      </w:r>
    </w:p>
    <w:p>
      <w:pPr>
        <w:tabs>
          <w:tab w:val="left" w:pos="525"/>
        </w:tabs>
        <w:autoSpaceDE/>
        <w:autoSpaceDN/>
        <w:spacing w:line="360" w:lineRule="auto"/>
        <w:ind w:firstLine="480" w:firstLineChars="200"/>
        <w:jc w:val="both"/>
        <w:rPr>
          <w:rFonts w:hint="eastAsia" w:ascii="Times New Roman" w:hAnsi="Times New Roman" w:eastAsia="宋体" w:cs="Times New Roman"/>
          <w:bCs/>
          <w:kern w:val="2"/>
          <w:sz w:val="24"/>
          <w:szCs w:val="24"/>
          <w:lang w:eastAsia="zh-CN" w:bidi="ar-SA"/>
        </w:rPr>
      </w:pPr>
      <w:r>
        <w:rPr>
          <w:rFonts w:hint="eastAsia" w:ascii="宋体" w:hAnsi="宋体" w:eastAsia="宋体" w:cs="宋体"/>
          <w:bCs/>
          <w:kern w:val="2"/>
          <w:sz w:val="24"/>
          <w:szCs w:val="24"/>
          <w:lang w:eastAsia="zh-CN" w:bidi="ar-SA"/>
        </w:rPr>
        <w:t>工程占地总</w:t>
      </w:r>
      <w:r>
        <w:rPr>
          <w:rFonts w:hint="eastAsia" w:ascii="Times New Roman" w:hAnsi="Times New Roman" w:eastAsia="宋体" w:cs="Times New Roman"/>
          <w:bCs/>
          <w:kern w:val="2"/>
          <w:sz w:val="24"/>
          <w:szCs w:val="24"/>
          <w:lang w:eastAsia="zh-CN" w:bidi="ar-SA"/>
        </w:rPr>
        <w:t>面积5229.80亩，其中永久占地3429.53亩（水库淹没影响区 1274.99亩），临时占地1800.27亩。不涉及搬迁安置人口，房屋面积6496.78m²。</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eastAsia="宋体" w:cs="Times New Roman"/>
          <w:kern w:val="0"/>
          <w:sz w:val="24"/>
          <w:szCs w:val="24"/>
          <w:lang w:eastAsia="zh-CN" w:bidi="ar-SA"/>
        </w:rPr>
      </w:pPr>
      <w:r>
        <w:rPr>
          <w:rFonts w:hint="eastAsia" w:ascii="宋体" w:hAnsi="宋体" w:eastAsia="宋体" w:cs="宋体"/>
          <w:bCs/>
          <w:kern w:val="2"/>
          <w:sz w:val="24"/>
          <w:szCs w:val="24"/>
          <w:lang w:eastAsia="zh-CN" w:bidi="ar-SA"/>
        </w:rPr>
        <w:t>工程建设不涉及生态保护红线、自然保护区、风景名胜区、森林公园、地质公园、饮用水水源保护区等环境敏感区，未发现具保护等级的文物和有开采价值的矿产，工程区也未发现有保护鱼类及其“三场”分布。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textAlignment w:val="auto"/>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2、工作内容</w:t>
      </w:r>
    </w:p>
    <w:p>
      <w:pPr>
        <w:keepNext w:val="0"/>
        <w:keepLines w:val="0"/>
        <w:pageBreakBefore w:val="0"/>
        <w:widowControl w:val="0"/>
        <w:shd w:val="clear" w:fill="FFFFFF" w:themeFill="background1"/>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bookmarkStart w:id="8" w:name="OLE_LINK7"/>
      <w:bookmarkStart w:id="17" w:name="_GoBack"/>
      <w:r>
        <w:rPr>
          <w:rFonts w:hint="eastAsia" w:ascii="Times New Roman" w:hAnsi="Times New Roman" w:eastAsia="宋体" w:cs="Times New Roman"/>
          <w:color w:val="auto"/>
          <w:kern w:val="2"/>
          <w:sz w:val="24"/>
          <w:szCs w:val="24"/>
          <w:highlight w:val="none"/>
          <w:shd w:val="clear" w:color="auto" w:fill="auto"/>
          <w:lang w:val="en-US" w:eastAsia="zh-CN" w:bidi="ar-SA"/>
        </w:rPr>
        <w:t>2.1 完成福建南安抽水蓄能电站</w:t>
      </w:r>
      <w:bookmarkStart w:id="9" w:name="_Toc3110"/>
      <w:bookmarkStart w:id="10" w:name="_Toc26845"/>
      <w:bookmarkStart w:id="11" w:name="_Toc15958"/>
      <w:bookmarkStart w:id="12" w:name="_Toc22261"/>
      <w:bookmarkStart w:id="13" w:name="_Toc14674"/>
      <w:r>
        <w:rPr>
          <w:rFonts w:hint="eastAsia" w:ascii="宋体" w:hAnsi="宋体" w:eastAsia="宋体" w:cs="宋体"/>
          <w:bCs/>
          <w:kern w:val="2"/>
          <w:sz w:val="24"/>
          <w:szCs w:val="24"/>
          <w:u w:val="none"/>
          <w:lang w:val="en-US" w:eastAsia="zh-CN" w:bidi="ar-SA"/>
        </w:rPr>
        <w:t>下库连接渣场临时道路用地及上库临时用地边界拉线</w:t>
      </w:r>
      <w:r>
        <w:rPr>
          <w:rFonts w:hint="eastAsia" w:eastAsia="宋体" w:cs="Times New Roman"/>
          <w:color w:val="auto"/>
          <w:kern w:val="2"/>
          <w:sz w:val="24"/>
          <w:szCs w:val="24"/>
          <w:highlight w:val="none"/>
          <w:u w:val="none"/>
          <w:shd w:val="clear" w:color="auto" w:fill="auto"/>
          <w:lang w:val="en-US" w:eastAsia="zh-CN" w:bidi="ar-SA"/>
        </w:rPr>
        <w:t>工作</w:t>
      </w:r>
      <w:r>
        <w:rPr>
          <w:rFonts w:hint="eastAsia" w:ascii="Times New Roman" w:hAnsi="Times New Roman" w:eastAsia="宋体" w:cs="Times New Roman"/>
          <w:color w:val="auto"/>
          <w:kern w:val="2"/>
          <w:sz w:val="24"/>
          <w:szCs w:val="24"/>
          <w:highlight w:val="none"/>
          <w:shd w:val="clear" w:color="auto" w:fill="auto"/>
          <w:lang w:val="en-US" w:eastAsia="zh-CN" w:bidi="ar-SA"/>
        </w:rPr>
        <w:t>，具体红线范围以甲方提供的红线图为准；</w:t>
      </w:r>
    </w:p>
    <w:p>
      <w:pPr>
        <w:keepNext w:val="0"/>
        <w:keepLines w:val="0"/>
        <w:pageBreakBefore w:val="0"/>
        <w:widowControl w:val="0"/>
        <w:shd w:val="clear" w:fill="FFFFFF" w:themeFill="background1"/>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2.2具体工作包括但不限于以下几方面：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bCs/>
          <w:kern w:val="2"/>
          <w:sz w:val="24"/>
          <w:szCs w:val="24"/>
          <w:u w:val="single"/>
          <w:lang w:val="en-US" w:eastAsia="zh-CN" w:bidi="ar-SA"/>
        </w:rPr>
      </w:pPr>
      <w:r>
        <w:rPr>
          <w:rFonts w:hint="eastAsia" w:ascii="宋体" w:hAnsi="宋体" w:eastAsia="宋体" w:cs="宋体"/>
          <w:sz w:val="24"/>
          <w:szCs w:val="24"/>
          <w:u w:val="single"/>
          <w:lang w:val="en-US" w:eastAsia="zh-CN"/>
        </w:rPr>
        <w:t>(1)</w:t>
      </w:r>
      <w:r>
        <w:rPr>
          <w:rFonts w:hint="eastAsia" w:ascii="宋体" w:hAnsi="宋体" w:eastAsia="宋体" w:cs="宋体"/>
          <w:bCs/>
          <w:kern w:val="2"/>
          <w:sz w:val="24"/>
          <w:szCs w:val="24"/>
          <w:u w:val="single"/>
          <w:lang w:val="en-US" w:eastAsia="zh-CN" w:bidi="ar-SA"/>
        </w:rPr>
        <w:t>沿下库连接渣场临时道路用地及上库临时用地红线</w:t>
      </w:r>
      <w:r>
        <w:rPr>
          <w:rFonts w:hint="eastAsia" w:ascii="宋体" w:hAnsi="宋体" w:eastAsia="宋体" w:cs="宋体"/>
          <w:bCs/>
          <w:kern w:val="2"/>
          <w:sz w:val="24"/>
          <w:szCs w:val="24"/>
          <w:u w:val="single"/>
          <w:lang w:eastAsia="zh-CN" w:bidi="ar-SA"/>
        </w:rPr>
        <w:t>范围</w:t>
      </w:r>
      <w:r>
        <w:rPr>
          <w:rFonts w:hint="eastAsia" w:ascii="宋体" w:hAnsi="宋体" w:eastAsia="宋体" w:cs="宋体"/>
          <w:bCs/>
          <w:kern w:val="2"/>
          <w:sz w:val="24"/>
          <w:szCs w:val="24"/>
          <w:u w:val="single"/>
          <w:lang w:val="en-US" w:eastAsia="zh-CN" w:bidi="ar-SA"/>
        </w:rPr>
        <w:t>征地边界，于离地1米处拉出明显界线</w:t>
      </w:r>
      <w:r>
        <w:rPr>
          <w:rFonts w:hint="eastAsia" w:ascii="宋体" w:hAnsi="宋体" w:eastAsia="宋体" w:cs="宋体"/>
          <w:bCs/>
          <w:kern w:val="2"/>
          <w:sz w:val="24"/>
          <w:szCs w:val="24"/>
          <w:u w:val="singl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宋体" w:hAnsi="宋体" w:eastAsia="宋体" w:cs="宋体"/>
          <w:sz w:val="24"/>
          <w:szCs w:val="24"/>
          <w:u w:val="single"/>
          <w:lang w:val="en-US" w:eastAsia="zh-CN"/>
        </w:rPr>
        <w:t>(2)</w:t>
      </w:r>
      <w:r>
        <w:rPr>
          <w:rFonts w:hint="eastAsia"/>
          <w:sz w:val="24"/>
          <w:szCs w:val="24"/>
          <w:u w:val="single"/>
          <w:lang w:val="en-US" w:eastAsia="zh-CN"/>
        </w:rPr>
        <w:t>人工沿征地红线清理、砍出一条可供通行的征地红线边界（特殊地形除外）。</w:t>
      </w:r>
      <w:bookmarkEnd w:id="17"/>
    </w:p>
    <w:bookmarkEnd w:id="8"/>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3</w:t>
      </w:r>
      <w:r>
        <w:rPr>
          <w:rFonts w:hint="eastAsia" w:eastAsia="宋体" w:cs="Times New Roman"/>
          <w:b/>
          <w:bCs/>
          <w:color w:val="auto"/>
          <w:kern w:val="2"/>
          <w:sz w:val="24"/>
          <w:szCs w:val="24"/>
          <w:highlight w:val="none"/>
          <w:lang w:val="en-US" w:eastAsia="zh-CN" w:bidi="ar-SA"/>
        </w:rPr>
        <w:t>、暂估</w:t>
      </w:r>
      <w:r>
        <w:rPr>
          <w:rFonts w:hint="eastAsia" w:ascii="Times New Roman" w:hAnsi="Times New Roman" w:eastAsia="宋体" w:cs="Times New Roman"/>
          <w:b/>
          <w:bCs/>
          <w:color w:val="auto"/>
          <w:kern w:val="2"/>
          <w:sz w:val="24"/>
          <w:szCs w:val="24"/>
          <w:highlight w:val="none"/>
          <w:lang w:val="en-US" w:eastAsia="zh-CN" w:bidi="ar-SA"/>
        </w:rPr>
        <w:t>工程量及临时界桩材质</w:t>
      </w:r>
      <w:r>
        <w:rPr>
          <w:rFonts w:hint="eastAsia" w:eastAsia="宋体" w:cs="Times New Roman"/>
          <w:b/>
          <w:bCs/>
          <w:color w:val="auto"/>
          <w:kern w:val="2"/>
          <w:sz w:val="24"/>
          <w:szCs w:val="24"/>
          <w:highlight w:val="none"/>
          <w:lang w:val="en-US" w:eastAsia="zh-CN" w:bidi="ar-SA"/>
        </w:rPr>
        <w:t>及相关</w:t>
      </w:r>
      <w:r>
        <w:rPr>
          <w:rFonts w:hint="eastAsia" w:ascii="Times New Roman" w:hAnsi="Times New Roman" w:eastAsia="宋体" w:cs="Times New Roman"/>
          <w:b/>
          <w:bCs/>
          <w:color w:val="auto"/>
          <w:kern w:val="2"/>
          <w:sz w:val="24"/>
          <w:szCs w:val="24"/>
          <w:highlight w:val="none"/>
          <w:lang w:val="en-US" w:eastAsia="zh-CN" w:bidi="ar-SA"/>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项目建设永久征地红线周边以及村与村之间设置临时界桩暂估工程量如下表：</w:t>
      </w:r>
    </w:p>
    <w:tbl>
      <w:tblPr>
        <w:tblStyle w:val="5"/>
        <w:tblW w:w="8598"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588"/>
        <w:gridCol w:w="2224"/>
        <w:gridCol w:w="145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916" w:type="dxa"/>
            <w:vAlign w:val="center"/>
          </w:tcPr>
          <w:p>
            <w:pPr>
              <w:pStyle w:val="7"/>
              <w:spacing w:line="360" w:lineRule="auto"/>
              <w:ind w:firstLine="0"/>
              <w:jc w:val="center"/>
              <w:rPr>
                <w:sz w:val="24"/>
                <w:szCs w:val="24"/>
                <w:lang w:val="en-US" w:eastAsia="zh-CN"/>
              </w:rPr>
            </w:pPr>
            <w:r>
              <w:rPr>
                <w:rFonts w:hint="eastAsia"/>
                <w:sz w:val="24"/>
                <w:szCs w:val="24"/>
                <w:lang w:val="en-US" w:eastAsia="zh-CN"/>
              </w:rPr>
              <w:t>序号</w:t>
            </w:r>
          </w:p>
        </w:tc>
        <w:tc>
          <w:tcPr>
            <w:tcW w:w="1588" w:type="dxa"/>
            <w:vAlign w:val="center"/>
          </w:tcPr>
          <w:p>
            <w:pPr>
              <w:pStyle w:val="7"/>
              <w:spacing w:line="360" w:lineRule="auto"/>
              <w:ind w:firstLine="0"/>
              <w:jc w:val="center"/>
              <w:rPr>
                <w:sz w:val="24"/>
                <w:szCs w:val="24"/>
              </w:rPr>
            </w:pPr>
            <w:r>
              <w:rPr>
                <w:rFonts w:hint="eastAsia"/>
                <w:sz w:val="24"/>
                <w:szCs w:val="24"/>
              </w:rPr>
              <w:t>项目名称</w:t>
            </w:r>
          </w:p>
        </w:tc>
        <w:tc>
          <w:tcPr>
            <w:tcW w:w="2224" w:type="dxa"/>
            <w:vAlign w:val="center"/>
          </w:tcPr>
          <w:p>
            <w:pPr>
              <w:pStyle w:val="7"/>
              <w:spacing w:line="360" w:lineRule="auto"/>
              <w:ind w:firstLine="0"/>
              <w:jc w:val="center"/>
              <w:rPr>
                <w:sz w:val="24"/>
                <w:szCs w:val="24"/>
              </w:rPr>
            </w:pPr>
            <w:r>
              <w:rPr>
                <w:rFonts w:hint="eastAsia"/>
                <w:sz w:val="24"/>
                <w:szCs w:val="24"/>
                <w:lang w:val="en-US" w:eastAsia="zh-CN"/>
              </w:rPr>
              <w:t>工作</w:t>
            </w:r>
            <w:r>
              <w:rPr>
                <w:rFonts w:hint="eastAsia"/>
                <w:sz w:val="24"/>
                <w:szCs w:val="24"/>
              </w:rPr>
              <w:t>内容</w:t>
            </w:r>
          </w:p>
        </w:tc>
        <w:tc>
          <w:tcPr>
            <w:tcW w:w="1455" w:type="dxa"/>
            <w:vAlign w:val="center"/>
          </w:tcPr>
          <w:p>
            <w:pPr>
              <w:spacing w:line="460" w:lineRule="exact"/>
              <w:jc w:val="center"/>
              <w:rPr>
                <w:rFonts w:hint="default" w:ascii="宋体" w:hAnsi="宋体" w:eastAsia="宋体" w:cs="宋体"/>
                <w:lang w:val="en-US"/>
              </w:rPr>
            </w:pPr>
            <w:r>
              <w:rPr>
                <w:rFonts w:hint="eastAsia" w:ascii="宋体" w:hAnsi="宋体" w:eastAsia="宋体" w:cs="宋体"/>
                <w:lang w:val="en-US" w:eastAsia="zh-CN"/>
              </w:rPr>
              <w:t>暂估工作量</w:t>
            </w:r>
          </w:p>
        </w:tc>
        <w:tc>
          <w:tcPr>
            <w:tcW w:w="2415" w:type="dxa"/>
            <w:vAlign w:val="center"/>
          </w:tcPr>
          <w:p>
            <w:pPr>
              <w:pStyle w:val="7"/>
              <w:spacing w:line="360" w:lineRule="auto"/>
              <w:ind w:firstLine="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trPr>
        <w:tc>
          <w:tcPr>
            <w:tcW w:w="916" w:type="dxa"/>
            <w:vMerge w:val="restart"/>
            <w:vAlign w:val="center"/>
          </w:tcPr>
          <w:p>
            <w:pPr>
              <w:pStyle w:val="7"/>
              <w:spacing w:line="360" w:lineRule="auto"/>
              <w:ind w:firstLine="0"/>
              <w:jc w:val="center"/>
              <w:rPr>
                <w:sz w:val="24"/>
                <w:szCs w:val="24"/>
                <w:lang w:val="en-US" w:eastAsia="zh-CN"/>
              </w:rPr>
            </w:pPr>
            <w:bookmarkStart w:id="14" w:name="OLE_LINK5" w:colFirst="2" w:colLast="3"/>
            <w:r>
              <w:rPr>
                <w:rFonts w:hint="eastAsia"/>
                <w:sz w:val="24"/>
                <w:szCs w:val="24"/>
                <w:lang w:val="en-US" w:eastAsia="zh-CN"/>
              </w:rPr>
              <w:t>1</w:t>
            </w:r>
          </w:p>
        </w:tc>
        <w:tc>
          <w:tcPr>
            <w:tcW w:w="1588" w:type="dxa"/>
            <w:vMerge w:val="restart"/>
            <w:vAlign w:val="center"/>
          </w:tcPr>
          <w:p>
            <w:pPr>
              <w:pStyle w:val="7"/>
              <w:spacing w:line="360" w:lineRule="auto"/>
              <w:ind w:firstLine="0"/>
              <w:jc w:val="center"/>
              <w:rPr>
                <w:rFonts w:hint="default"/>
                <w:sz w:val="24"/>
                <w:szCs w:val="24"/>
                <w:lang w:val="en-US" w:eastAsia="zh-CN"/>
              </w:rPr>
            </w:pPr>
            <w:r>
              <w:rPr>
                <w:rFonts w:hint="eastAsia"/>
                <w:sz w:val="24"/>
                <w:szCs w:val="24"/>
                <w:lang w:eastAsia="zh-CN"/>
              </w:rPr>
              <w:t>福建省南安抽水蓄能电站</w:t>
            </w:r>
            <w:r>
              <w:rPr>
                <w:rFonts w:hint="eastAsia"/>
                <w:sz w:val="24"/>
                <w:szCs w:val="24"/>
                <w:lang w:val="en-US" w:eastAsia="zh-CN"/>
              </w:rPr>
              <w:t>部分临时界桩补充工作</w:t>
            </w:r>
          </w:p>
        </w:tc>
        <w:tc>
          <w:tcPr>
            <w:tcW w:w="2224" w:type="dxa"/>
            <w:vAlign w:val="center"/>
          </w:tcPr>
          <w:p>
            <w:pPr>
              <w:spacing w:line="460" w:lineRule="exact"/>
              <w:jc w:val="center"/>
              <w:rPr>
                <w:rFonts w:hint="default" w:ascii="宋体" w:hAnsi="宋体" w:eastAsia="宋体" w:cs="宋体"/>
                <w:lang w:val="en-US" w:eastAsia="zh-CN"/>
              </w:rPr>
            </w:pPr>
            <w:bookmarkStart w:id="15" w:name="OLE_LINK4"/>
            <w:r>
              <w:rPr>
                <w:rFonts w:hint="eastAsia" w:ascii="宋体" w:hAnsi="宋体" w:eastAsia="宋体" w:cs="宋体"/>
                <w:bCs/>
                <w:kern w:val="2"/>
                <w:sz w:val="24"/>
                <w:szCs w:val="24"/>
                <w:u w:val="none"/>
                <w:lang w:val="en-US" w:eastAsia="zh-CN" w:bidi="ar-SA"/>
              </w:rPr>
              <w:t>下库连接渣场临时道路用地边界拉线及开路</w:t>
            </w:r>
            <w:bookmarkEnd w:id="15"/>
          </w:p>
        </w:tc>
        <w:tc>
          <w:tcPr>
            <w:tcW w:w="1455" w:type="dxa"/>
            <w:vAlign w:val="center"/>
          </w:tcPr>
          <w:p>
            <w:pPr>
              <w:pStyle w:val="2"/>
              <w:spacing w:line="460" w:lineRule="exact"/>
              <w:jc w:val="center"/>
              <w:rPr>
                <w:rFonts w:hint="default" w:hAnsi="宋体" w:eastAsia="宋体" w:cs="宋体"/>
                <w:color w:val="auto"/>
                <w:sz w:val="24"/>
                <w:szCs w:val="24"/>
                <w:lang w:val="en-US" w:eastAsia="zh-CN"/>
              </w:rPr>
            </w:pPr>
            <w:r>
              <w:rPr>
                <w:rFonts w:hint="eastAsia" w:hAnsi="宋体" w:eastAsia="宋体" w:cs="宋体"/>
                <w:color w:val="auto"/>
                <w:sz w:val="24"/>
                <w:szCs w:val="24"/>
                <w:lang w:val="en-US" w:eastAsia="zh-CN"/>
              </w:rPr>
              <w:t>2.5千米</w:t>
            </w:r>
          </w:p>
        </w:tc>
        <w:tc>
          <w:tcPr>
            <w:tcW w:w="2415" w:type="dxa"/>
            <w:vMerge w:val="restart"/>
            <w:vAlign w:val="center"/>
          </w:tcPr>
          <w:p>
            <w:pPr>
              <w:spacing w:line="460" w:lineRule="exact"/>
              <w:jc w:val="center"/>
              <w:rPr>
                <w:rFonts w:hint="default" w:ascii="宋体" w:hAnsi="宋体" w:eastAsia="宋体" w:cs="宋体"/>
                <w:lang w:val="en-US" w:eastAsia="zh-CN"/>
              </w:rPr>
            </w:pPr>
            <w:bookmarkStart w:id="16" w:name="OLE_LINK6"/>
            <w:r>
              <w:rPr>
                <w:rFonts w:hint="eastAsia" w:ascii="宋体" w:hAnsi="宋体" w:eastAsia="宋体" w:cs="宋体"/>
                <w:lang w:val="en-US" w:eastAsia="zh-CN"/>
              </w:rPr>
              <w:t>沿红线外围拉出明显界线，已布线位置不重复拉线。</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trPr>
        <w:tc>
          <w:tcPr>
            <w:tcW w:w="916" w:type="dxa"/>
            <w:vMerge w:val="continue"/>
            <w:vAlign w:val="center"/>
          </w:tcPr>
          <w:p>
            <w:pPr>
              <w:pStyle w:val="7"/>
              <w:spacing w:line="360" w:lineRule="auto"/>
              <w:ind w:firstLine="0"/>
              <w:jc w:val="center"/>
              <w:rPr>
                <w:rFonts w:hint="eastAsia"/>
                <w:sz w:val="24"/>
                <w:szCs w:val="24"/>
                <w:lang w:val="en-US" w:eastAsia="zh-CN"/>
              </w:rPr>
            </w:pPr>
          </w:p>
        </w:tc>
        <w:tc>
          <w:tcPr>
            <w:tcW w:w="1588" w:type="dxa"/>
            <w:vMerge w:val="continue"/>
            <w:vAlign w:val="center"/>
          </w:tcPr>
          <w:p>
            <w:pPr>
              <w:pStyle w:val="7"/>
              <w:spacing w:line="360" w:lineRule="auto"/>
              <w:ind w:firstLine="0"/>
              <w:jc w:val="center"/>
              <w:rPr>
                <w:rFonts w:hint="eastAsia"/>
                <w:sz w:val="24"/>
                <w:szCs w:val="24"/>
                <w:lang w:eastAsia="zh-CN"/>
              </w:rPr>
            </w:pPr>
          </w:p>
        </w:tc>
        <w:tc>
          <w:tcPr>
            <w:tcW w:w="2224" w:type="dxa"/>
            <w:vAlign w:val="center"/>
          </w:tcPr>
          <w:p>
            <w:pPr>
              <w:spacing w:line="460" w:lineRule="exact"/>
              <w:jc w:val="center"/>
              <w:rPr>
                <w:rFonts w:hint="eastAsia" w:ascii="宋体" w:hAnsi="宋体" w:eastAsia="宋体" w:cs="宋体"/>
              </w:rPr>
            </w:pPr>
            <w:r>
              <w:rPr>
                <w:rFonts w:hint="eastAsia" w:ascii="宋体" w:hAnsi="宋体" w:eastAsia="宋体" w:cs="宋体"/>
                <w:bCs/>
                <w:i w:val="0"/>
                <w:iCs w:val="0"/>
                <w:kern w:val="2"/>
                <w:sz w:val="24"/>
                <w:szCs w:val="24"/>
                <w:u w:val="none"/>
                <w:lang w:val="en-US" w:eastAsia="zh-CN" w:bidi="ar-SA"/>
              </w:rPr>
              <w:t>上库临时用地红线</w:t>
            </w:r>
            <w:r>
              <w:rPr>
                <w:rFonts w:hint="eastAsia" w:ascii="宋体" w:hAnsi="宋体" w:eastAsia="宋体" w:cs="宋体"/>
                <w:bCs/>
                <w:i w:val="0"/>
                <w:iCs w:val="0"/>
                <w:kern w:val="2"/>
                <w:sz w:val="24"/>
                <w:szCs w:val="24"/>
                <w:u w:val="none"/>
                <w:lang w:eastAsia="zh-CN" w:bidi="ar-SA"/>
              </w:rPr>
              <w:t>范围</w:t>
            </w:r>
            <w:r>
              <w:rPr>
                <w:rFonts w:hint="eastAsia" w:ascii="宋体" w:hAnsi="宋体" w:eastAsia="宋体" w:cs="宋体"/>
                <w:bCs/>
                <w:i w:val="0"/>
                <w:iCs w:val="0"/>
                <w:kern w:val="2"/>
                <w:sz w:val="24"/>
                <w:szCs w:val="24"/>
                <w:u w:val="none"/>
                <w:lang w:val="en-US" w:eastAsia="zh-CN" w:bidi="ar-SA"/>
              </w:rPr>
              <w:t>征地边界拉线</w:t>
            </w:r>
            <w:r>
              <w:rPr>
                <w:rFonts w:hint="eastAsia" w:ascii="宋体" w:hAnsi="宋体" w:eastAsia="宋体" w:cs="宋体"/>
                <w:bCs/>
                <w:kern w:val="2"/>
                <w:sz w:val="24"/>
                <w:szCs w:val="24"/>
                <w:u w:val="none"/>
                <w:lang w:val="en-US" w:eastAsia="zh-CN" w:bidi="ar-SA"/>
              </w:rPr>
              <w:t>及开路</w:t>
            </w:r>
          </w:p>
        </w:tc>
        <w:tc>
          <w:tcPr>
            <w:tcW w:w="1455" w:type="dxa"/>
            <w:vAlign w:val="center"/>
          </w:tcPr>
          <w:p>
            <w:pPr>
              <w:pStyle w:val="2"/>
              <w:spacing w:line="460" w:lineRule="exact"/>
              <w:jc w:val="center"/>
              <w:rPr>
                <w:rFonts w:hint="default" w:hAnsi="宋体" w:eastAsia="宋体" w:cs="宋体"/>
                <w:color w:val="auto"/>
                <w:sz w:val="24"/>
                <w:szCs w:val="24"/>
                <w:lang w:val="en-US" w:eastAsia="zh-CN"/>
              </w:rPr>
            </w:pPr>
            <w:r>
              <w:rPr>
                <w:rFonts w:hint="eastAsia" w:hAnsi="宋体" w:eastAsia="宋体" w:cs="宋体"/>
                <w:color w:val="auto"/>
                <w:sz w:val="24"/>
                <w:szCs w:val="24"/>
                <w:lang w:val="en-US" w:eastAsia="zh-CN"/>
              </w:rPr>
              <w:t>9.5千米</w:t>
            </w:r>
          </w:p>
        </w:tc>
        <w:tc>
          <w:tcPr>
            <w:tcW w:w="2415" w:type="dxa"/>
            <w:vMerge w:val="continue"/>
            <w:vAlign w:val="center"/>
          </w:tcPr>
          <w:p>
            <w:pPr>
              <w:spacing w:line="460" w:lineRule="exact"/>
              <w:jc w:val="center"/>
              <w:rPr>
                <w:rFonts w:hint="default" w:ascii="宋体" w:hAnsi="宋体" w:eastAsia="宋体" w:cs="宋体"/>
                <w:lang w:val="en-US" w:eastAsia="zh-CN"/>
              </w:rPr>
            </w:pPr>
          </w:p>
        </w:tc>
      </w:tr>
      <w:bookmarkEnd w:id="14"/>
    </w:tbl>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Times New Roman"/>
          <w:b/>
          <w:bCs/>
          <w:kern w:val="0"/>
          <w:sz w:val="24"/>
          <w:szCs w:val="24"/>
          <w:lang w:eastAsia="zh-CN" w:bidi="ar-SA"/>
        </w:rPr>
      </w:pPr>
      <w:r>
        <w:rPr>
          <w:rFonts w:hint="eastAsia" w:ascii="宋体" w:hAnsi="宋体" w:eastAsia="宋体" w:cs="Times New Roman"/>
          <w:b/>
          <w:bCs/>
          <w:kern w:val="0"/>
          <w:sz w:val="24"/>
          <w:szCs w:val="24"/>
          <w:lang w:val="en-US" w:eastAsia="zh-CN" w:bidi="ar-SA"/>
        </w:rPr>
        <w:t>4</w:t>
      </w:r>
      <w:r>
        <w:rPr>
          <w:rFonts w:hint="eastAsia" w:ascii="宋体" w:hAnsi="宋体" w:eastAsia="宋体" w:cs="Times New Roman"/>
          <w:b/>
          <w:bCs/>
          <w:kern w:val="0"/>
          <w:sz w:val="24"/>
          <w:szCs w:val="24"/>
          <w:lang w:eastAsia="zh-CN" w:bidi="ar-SA"/>
        </w:rPr>
        <w:t xml:space="preserve"> 作业依据</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Times New Roman"/>
          <w:kern w:val="0"/>
          <w:sz w:val="24"/>
          <w:szCs w:val="24"/>
          <w:highlight w:val="none"/>
          <w:lang w:eastAsia="zh-CN" w:bidi="ar-SA"/>
        </w:rPr>
      </w:pPr>
      <w:r>
        <w:rPr>
          <w:rFonts w:hint="eastAsia" w:ascii="宋体" w:hAnsi="宋体" w:eastAsia="宋体" w:cs="Times New Roman"/>
          <w:kern w:val="0"/>
          <w:sz w:val="24"/>
          <w:szCs w:val="24"/>
          <w:highlight w:val="none"/>
          <w:lang w:eastAsia="zh-CN" w:bidi="ar-SA"/>
        </w:rPr>
        <w:t>福建</w:t>
      </w:r>
      <w:r>
        <w:rPr>
          <w:rFonts w:hint="eastAsia" w:ascii="宋体" w:hAnsi="宋体" w:eastAsia="宋体" w:cs="Times New Roman"/>
          <w:kern w:val="0"/>
          <w:sz w:val="24"/>
          <w:szCs w:val="24"/>
          <w:highlight w:val="none"/>
          <w:lang w:val="en-US" w:eastAsia="zh-CN" w:bidi="ar-SA"/>
        </w:rPr>
        <w:t>省南安</w:t>
      </w:r>
      <w:r>
        <w:rPr>
          <w:rFonts w:hint="eastAsia" w:ascii="宋体" w:hAnsi="宋体" w:eastAsia="宋体" w:cs="Times New Roman"/>
          <w:kern w:val="0"/>
          <w:sz w:val="24"/>
          <w:szCs w:val="24"/>
          <w:highlight w:val="none"/>
          <w:lang w:eastAsia="zh-CN" w:bidi="ar-SA"/>
        </w:rPr>
        <w:t>抽水蓄能电站</w:t>
      </w:r>
      <w:r>
        <w:rPr>
          <w:rFonts w:hint="eastAsia" w:ascii="宋体" w:hAnsi="宋体" w:eastAsia="宋体" w:cs="Times New Roman"/>
          <w:kern w:val="0"/>
          <w:sz w:val="24"/>
          <w:szCs w:val="24"/>
          <w:highlight w:val="none"/>
          <w:lang w:val="en-US" w:eastAsia="zh-CN" w:bidi="ar-SA"/>
        </w:rPr>
        <w:t>项目红线图；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textAlignment w:val="auto"/>
        <w:rPr>
          <w:rFonts w:hint="eastAsia" w:ascii="宋体" w:hAnsi="宋体" w:eastAsia="宋体" w:cs="Times New Roman"/>
          <w:b/>
          <w:bCs/>
          <w:kern w:val="0"/>
          <w:sz w:val="24"/>
          <w:szCs w:val="22"/>
          <w:highlight w:val="none"/>
          <w:lang w:val="en-US" w:eastAsia="zh-CN" w:bidi="ar-SA"/>
        </w:rPr>
      </w:pPr>
      <w:r>
        <w:rPr>
          <w:rFonts w:hint="eastAsia" w:ascii="宋体" w:hAnsi="宋体" w:eastAsia="宋体" w:cs="Times New Roman"/>
          <w:b/>
          <w:bCs/>
          <w:kern w:val="0"/>
          <w:sz w:val="24"/>
          <w:szCs w:val="24"/>
          <w:highlight w:val="none"/>
          <w:lang w:val="en-US" w:eastAsia="zh-CN" w:bidi="ar-SA"/>
        </w:rPr>
        <w:t xml:space="preserve">5  </w:t>
      </w:r>
      <w:r>
        <w:rPr>
          <w:rFonts w:hint="eastAsia" w:ascii="宋体" w:hAnsi="宋体" w:eastAsia="宋体" w:cs="Times New Roman"/>
          <w:b/>
          <w:bCs/>
          <w:kern w:val="0"/>
          <w:sz w:val="24"/>
          <w:szCs w:val="22"/>
          <w:highlight w:val="none"/>
          <w:lang w:val="en-US" w:eastAsia="zh-CN" w:bidi="ar-SA"/>
        </w:rPr>
        <w:t>工期要求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1" w:firstLineChars="0"/>
        <w:jc w:val="both"/>
        <w:textAlignment w:val="auto"/>
        <w:rPr>
          <w:rFonts w:hint="default" w:ascii="宋体" w:hAnsi="宋体" w:eastAsia="宋体" w:cs="Times New Roman"/>
          <w:b w:val="0"/>
          <w:bCs w:val="0"/>
          <w:kern w:val="0"/>
          <w:sz w:val="24"/>
          <w:szCs w:val="22"/>
          <w:highlight w:val="none"/>
          <w:lang w:val="en-US" w:eastAsia="zh-CN" w:bidi="ar-SA"/>
        </w:rPr>
      </w:pPr>
      <w:r>
        <w:rPr>
          <w:rFonts w:hint="eastAsia" w:ascii="宋体" w:hAnsi="宋体" w:eastAsia="宋体" w:cs="Times New Roman"/>
          <w:b w:val="0"/>
          <w:bCs w:val="0"/>
          <w:kern w:val="0"/>
          <w:sz w:val="24"/>
          <w:szCs w:val="22"/>
          <w:highlight w:val="none"/>
          <w:lang w:val="en-US" w:eastAsia="zh-CN" w:bidi="ar-SA"/>
        </w:rPr>
        <w:t>本项目总工期10个日历天。</w:t>
      </w:r>
    </w:p>
    <w:p>
      <w:pPr>
        <w:pStyle w:val="7"/>
        <w:spacing w:line="360" w:lineRule="auto"/>
        <w:ind w:firstLine="440" w:firstLineChars="200"/>
        <w:rPr>
          <w:rFonts w:hint="eastAsia" w:eastAsia="宋体"/>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DdhZGE5NzE4ZmZjMmFiMDA1MzAyZTc2NDZjMzkifQ=="/>
  </w:docVars>
  <w:rsids>
    <w:rsidRoot w:val="5C5357D6"/>
    <w:rsid w:val="01B103BA"/>
    <w:rsid w:val="05DF02BF"/>
    <w:rsid w:val="097C56B6"/>
    <w:rsid w:val="0A293CF6"/>
    <w:rsid w:val="0CF033C9"/>
    <w:rsid w:val="0D626A9E"/>
    <w:rsid w:val="0F894B85"/>
    <w:rsid w:val="11884760"/>
    <w:rsid w:val="13F74E1A"/>
    <w:rsid w:val="15343253"/>
    <w:rsid w:val="1D3A1441"/>
    <w:rsid w:val="1F0F65AE"/>
    <w:rsid w:val="1F764234"/>
    <w:rsid w:val="20AC4A1E"/>
    <w:rsid w:val="25B11864"/>
    <w:rsid w:val="26DF4C36"/>
    <w:rsid w:val="33D101EF"/>
    <w:rsid w:val="3B0C5041"/>
    <w:rsid w:val="3C1063F2"/>
    <w:rsid w:val="3CE33B1D"/>
    <w:rsid w:val="4028194C"/>
    <w:rsid w:val="4A7F65BF"/>
    <w:rsid w:val="4AE5751D"/>
    <w:rsid w:val="4CC67484"/>
    <w:rsid w:val="4D5D4552"/>
    <w:rsid w:val="4FBB7277"/>
    <w:rsid w:val="51CF7F86"/>
    <w:rsid w:val="52152D55"/>
    <w:rsid w:val="5220622B"/>
    <w:rsid w:val="528A76BA"/>
    <w:rsid w:val="53006183"/>
    <w:rsid w:val="538F331E"/>
    <w:rsid w:val="59482846"/>
    <w:rsid w:val="5A517C87"/>
    <w:rsid w:val="5A7704B3"/>
    <w:rsid w:val="5AF0470D"/>
    <w:rsid w:val="5B5C2270"/>
    <w:rsid w:val="5C5357D6"/>
    <w:rsid w:val="5D4D5AA1"/>
    <w:rsid w:val="61041CE9"/>
    <w:rsid w:val="687B6A98"/>
    <w:rsid w:val="6D084846"/>
    <w:rsid w:val="6DA46816"/>
    <w:rsid w:val="7CD1393C"/>
    <w:rsid w:val="7FA1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32"/>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jsggs1.1"/>
    <w:qFormat/>
    <w:uiPriority w:val="0"/>
    <w:pPr>
      <w:widowControl w:val="0"/>
      <w:jc w:val="both"/>
    </w:pPr>
    <w:rPr>
      <w:rFonts w:ascii="Times New Roman" w:hAnsi="Times New Roman" w:eastAsia="宋体" w:cs="Times New Roman"/>
      <w:b/>
      <w:kern w:val="2"/>
      <w:sz w:val="24"/>
      <w:lang w:val="en-US" w:eastAsia="zh-CN" w:bidi="ar-SA"/>
    </w:rPr>
  </w:style>
  <w:style w:type="paragraph" w:customStyle="1" w:styleId="7">
    <w:name w:val="Body text|1"/>
    <w:basedOn w:val="1"/>
    <w:qFormat/>
    <w:uiPriority w:val="0"/>
    <w:pPr>
      <w:spacing w:line="420"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631</Characters>
  <Lines>0</Lines>
  <Paragraphs>0</Paragraphs>
  <TotalTime>2</TotalTime>
  <ScaleCrop>false</ScaleCrop>
  <LinksUpToDate>false</LinksUpToDate>
  <CharactersWithSpaces>637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2024-04-02T02:31:00Z</dcterms:created>
  <dc:creator>连秋萍</dc:creator>
  <cp:lastModifiedBy>连秋萍</cp:lastModifiedBy>
  <cp:lastPrinted>2024-04-07T03:58:00Z</cp:lastPrinted>
  <dcterms:modified xsi:type="dcterms:W3CDTF">2025-04-17T08:15:32Z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25BC31DDABF947E0AD3B5587826141F6_13</vt:lpwstr>
  </property>
  <property fmtid="{D5CDD505-2E9C-101B-9397-08002B2CF9AE}" pid="4" name="KSOTemplateDocerSaveRecord">
    <vt:lpwstr>eyJoZGlkIjoiNDAyYmM2ZjdiZmNlYWRmOWVmMDI0NjNhM2IxZDlkMGIiLCJ1c2VySWQiOiIyNzQyNDgwODkifQ==</vt:lpwstr>
  </property>
</Properties>
</file>