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25" w:afterLines="25" w:line="360" w:lineRule="auto"/>
        <w:jc w:val="center"/>
        <w:outlineLvl w:val="0"/>
        <w:rPr>
          <w:rFonts w:ascii="宋体" w:hAnsi="宋体" w:cs="宋体"/>
          <w:b/>
          <w:bCs/>
          <w:sz w:val="24"/>
          <w:szCs w:val="24"/>
        </w:rPr>
      </w:pPr>
      <w:bookmarkStart w:id="0" w:name="_Toc433725672"/>
      <w:bookmarkStart w:id="1" w:name="_Toc257990538"/>
      <w:bookmarkStart w:id="2" w:name="_Toc291588743"/>
      <w:r>
        <w:rPr>
          <w:rFonts w:hint="eastAsia" w:ascii="宋体" w:hAnsi="宋体" w:cs="宋体"/>
          <w:b/>
          <w:bCs/>
          <w:sz w:val="24"/>
          <w:szCs w:val="24"/>
        </w:rPr>
        <w:t xml:space="preserve">投 标 </w:t>
      </w:r>
      <w:r>
        <w:rPr>
          <w:rFonts w:hint="eastAsia" w:ascii="宋体" w:hAnsi="宋体" w:cs="宋体"/>
          <w:b/>
          <w:bCs/>
          <w:sz w:val="24"/>
          <w:szCs w:val="24"/>
          <w:lang w:eastAsia="zh-CN"/>
        </w:rPr>
        <w:t>询</w:t>
      </w:r>
      <w:r>
        <w:rPr>
          <w:rFonts w:hint="eastAsia" w:ascii="宋体" w:hAnsi="宋体" w:cs="宋体"/>
          <w:b/>
          <w:bCs/>
          <w:sz w:val="24"/>
          <w:szCs w:val="24"/>
          <w:lang w:val="en-US" w:eastAsia="zh-CN"/>
        </w:rPr>
        <w:t xml:space="preserve"> </w:t>
      </w:r>
      <w:r>
        <w:rPr>
          <w:rFonts w:hint="eastAsia" w:ascii="宋体" w:hAnsi="宋体" w:cs="宋体"/>
          <w:b/>
          <w:bCs/>
          <w:sz w:val="24"/>
          <w:szCs w:val="24"/>
          <w:lang w:eastAsia="zh-CN"/>
        </w:rPr>
        <w:t>价</w:t>
      </w:r>
      <w:r>
        <w:rPr>
          <w:rFonts w:hint="eastAsia" w:ascii="宋体" w:hAnsi="宋体" w:cs="宋体"/>
          <w:b/>
          <w:bCs/>
          <w:sz w:val="24"/>
          <w:szCs w:val="24"/>
        </w:rPr>
        <w:t xml:space="preserve"> 函</w:t>
      </w:r>
      <w:bookmarkStart w:id="134" w:name="_GoBack"/>
      <w:bookmarkEnd w:id="134"/>
    </w:p>
    <w:p>
      <w:pPr>
        <w:pStyle w:val="15"/>
        <w:rPr>
          <w:rFonts w:hAnsi="宋体" w:cs="宋体"/>
          <w:sz w:val="24"/>
          <w:szCs w:val="24"/>
          <w:highlight w:val="none"/>
          <w:u w:val="single"/>
        </w:rPr>
      </w:pPr>
      <w:r>
        <w:rPr>
          <w:rFonts w:hint="eastAsia" w:hAnsi="宋体" w:cs="宋体"/>
          <w:sz w:val="24"/>
          <w:szCs w:val="24"/>
          <w:u w:val="single"/>
        </w:rPr>
        <w:t xml:space="preserve">                             ：</w:t>
      </w:r>
    </w:p>
    <w:p>
      <w:pPr>
        <w:pStyle w:val="15"/>
        <w:rPr>
          <w:rFonts w:hAnsi="宋体" w:cs="宋体"/>
          <w:sz w:val="24"/>
          <w:szCs w:val="24"/>
          <w:highlight w:val="none"/>
        </w:rPr>
      </w:pPr>
      <w:r>
        <w:rPr>
          <w:rFonts w:hint="eastAsia" w:hAnsi="宋体" w:cs="宋体"/>
          <w:sz w:val="24"/>
          <w:szCs w:val="24"/>
          <w:highlight w:val="none"/>
        </w:rPr>
        <w:t>项目名称：</w:t>
      </w:r>
      <w:bookmarkStart w:id="3" w:name="OLE_LINK4"/>
      <w:r>
        <w:rPr>
          <w:rFonts w:hint="eastAsia" w:hAnsi="宋体"/>
          <w:bCs/>
          <w:color w:val="auto"/>
          <w:sz w:val="24"/>
          <w:lang w:val="en-US" w:eastAsia="zh-CN"/>
        </w:rPr>
        <w:t>2025年度龙下风电场构筑物防雷装置安全检测项目</w:t>
      </w:r>
      <w:bookmarkEnd w:id="3"/>
      <w:r>
        <w:rPr>
          <w:rFonts w:hint="eastAsia" w:hAnsi="宋体" w:cs="宋体"/>
          <w:sz w:val="24"/>
          <w:szCs w:val="24"/>
          <w:highlight w:val="none"/>
        </w:rPr>
        <w:t>（以下简称“项目”）</w:t>
      </w:r>
    </w:p>
    <w:p>
      <w:pPr>
        <w:pStyle w:val="15"/>
        <w:spacing w:line="500" w:lineRule="exact"/>
        <w:rPr>
          <w:rFonts w:hAnsi="宋体" w:cs="宋体"/>
          <w:sz w:val="24"/>
          <w:szCs w:val="24"/>
          <w:highlight w:val="none"/>
        </w:rPr>
      </w:pPr>
      <w:r>
        <w:rPr>
          <w:rFonts w:hint="eastAsia" w:hAnsi="宋体" w:cs="宋体"/>
          <w:sz w:val="24"/>
          <w:szCs w:val="24"/>
          <w:highlight w:val="none"/>
        </w:rPr>
        <w:t>1.福建省福能海峡发电有限公司（以下简称“招标人”）采用询（比）价方式邀请</w:t>
      </w:r>
      <w:r>
        <w:rPr>
          <w:rFonts w:hint="eastAsia" w:hAnsi="宋体" w:cs="宋体"/>
          <w:sz w:val="24"/>
          <w:szCs w:val="24"/>
          <w:highlight w:val="none"/>
          <w:lang w:eastAsia="zh-CN"/>
        </w:rPr>
        <w:t>服务</w:t>
      </w:r>
      <w:r>
        <w:rPr>
          <w:rFonts w:hint="eastAsia" w:hAnsi="宋体" w:cs="宋体"/>
          <w:sz w:val="24"/>
          <w:szCs w:val="24"/>
          <w:highlight w:val="none"/>
        </w:rPr>
        <w:t>单位（以下简称“投标人”）</w:t>
      </w:r>
      <w:r>
        <w:rPr>
          <w:rFonts w:hint="eastAsia" w:hAnsi="宋体" w:cs="宋体"/>
          <w:sz w:val="24"/>
          <w:szCs w:val="24"/>
          <w:highlight w:val="none"/>
          <w:lang w:eastAsia="zh-CN"/>
        </w:rPr>
        <w:t>报价</w:t>
      </w:r>
      <w:r>
        <w:rPr>
          <w:rFonts w:hint="eastAsia" w:hAnsi="宋体" w:cs="宋体"/>
          <w:sz w:val="24"/>
          <w:szCs w:val="24"/>
          <w:highlight w:val="none"/>
        </w:rPr>
        <w:t>，要求投标人提交密封且有竞争性的投标文件。</w:t>
      </w:r>
    </w:p>
    <w:p>
      <w:pPr>
        <w:pStyle w:val="15"/>
        <w:spacing w:line="500" w:lineRule="exact"/>
        <w:rPr>
          <w:rFonts w:hAnsi="宋体" w:cs="宋体"/>
          <w:sz w:val="24"/>
          <w:szCs w:val="24"/>
          <w:highlight w:val="none"/>
        </w:rPr>
      </w:pPr>
      <w:r>
        <w:rPr>
          <w:rFonts w:hint="eastAsia" w:hAnsi="宋体" w:cs="宋体"/>
          <w:sz w:val="24"/>
          <w:szCs w:val="24"/>
          <w:highlight w:val="none"/>
        </w:rPr>
        <w:t>2.本次招标范围为</w:t>
      </w:r>
      <w:r>
        <w:rPr>
          <w:rFonts w:hint="eastAsia" w:hAnsi="宋体"/>
          <w:bCs/>
          <w:color w:val="auto"/>
          <w:sz w:val="24"/>
          <w:lang w:val="en-US" w:eastAsia="zh-CN"/>
        </w:rPr>
        <w:t>2025年度龙下风电场构筑物防雷装置安全检测项目</w:t>
      </w:r>
      <w:r>
        <w:rPr>
          <w:rFonts w:hint="eastAsia" w:hAnsi="宋体" w:cs="宋体"/>
          <w:sz w:val="24"/>
          <w:szCs w:val="24"/>
          <w:highlight w:val="none"/>
        </w:rPr>
        <w:t>的服务，具体内容详见招标文件有关规定。</w:t>
      </w:r>
    </w:p>
    <w:p>
      <w:pPr>
        <w:adjustRightInd w:val="0"/>
        <w:snapToGrid/>
        <w:spacing w:beforeLines="25" w:afterLines="25" w:line="500" w:lineRule="exact"/>
        <w:rPr>
          <w:rFonts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.投标文件的递交</w:t>
      </w:r>
    </w:p>
    <w:p>
      <w:pPr>
        <w:spacing w:line="5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投标截止时间：</w:t>
      </w:r>
      <w:r>
        <w:rPr>
          <w:rFonts w:hint="eastAsia" w:ascii="宋体" w:hAnsi="宋体" w:cs="宋体"/>
          <w:sz w:val="24"/>
          <w:szCs w:val="24"/>
          <w:highlight w:val="none"/>
          <w:u w:val="single"/>
        </w:rPr>
        <w:t>202</w:t>
      </w:r>
      <w:r>
        <w:rPr>
          <w:rFonts w:hint="eastAsia" w:hAnsi="宋体" w:cs="宋体"/>
          <w:sz w:val="24"/>
          <w:szCs w:val="24"/>
          <w:highlight w:val="none"/>
        </w:rPr>
        <w:t>5</w:t>
      </w:r>
      <w:r>
        <w:rPr>
          <w:rFonts w:hint="eastAsia" w:ascii="宋体" w:hAnsi="宋体" w:cs="宋体"/>
          <w:sz w:val="24"/>
          <w:szCs w:val="24"/>
          <w:highlight w:val="none"/>
        </w:rPr>
        <w:t>年</w:t>
      </w:r>
      <w:r>
        <w:rPr>
          <w:rFonts w:hint="eastAsia" w:ascii="宋体" w:hAnsi="宋体" w:cs="宋体"/>
          <w:sz w:val="24"/>
          <w:szCs w:val="24"/>
          <w:highlight w:val="none"/>
          <w:u w:val="single"/>
          <w:lang w:val="en-US" w:eastAsia="zh-CN"/>
        </w:rPr>
        <w:t xml:space="preserve"> 5 </w:t>
      </w:r>
      <w:r>
        <w:rPr>
          <w:rFonts w:hint="eastAsia" w:ascii="宋体" w:hAnsi="宋体" w:cs="宋体"/>
          <w:sz w:val="24"/>
          <w:szCs w:val="24"/>
          <w:highlight w:val="none"/>
        </w:rPr>
        <w:t>月</w:t>
      </w:r>
      <w:r>
        <w:rPr>
          <w:rFonts w:hint="eastAsia" w:ascii="宋体" w:hAnsi="宋体" w:cs="宋体"/>
          <w:color w:val="auto"/>
          <w:sz w:val="24"/>
          <w:szCs w:val="24"/>
          <w:highlight w:val="none"/>
          <w:u w:val="single"/>
          <w:lang w:val="en-US" w:eastAsia="zh-CN"/>
        </w:rPr>
        <w:t xml:space="preserve"> 30</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lang w:val="en-US" w:eastAsia="zh-CN"/>
        </w:rPr>
        <w:t>9</w:t>
      </w:r>
      <w:r>
        <w:rPr>
          <w:rFonts w:hint="eastAsia" w:ascii="宋体" w:hAnsi="宋体" w:cs="宋体"/>
          <w:sz w:val="24"/>
          <w:szCs w:val="24"/>
          <w:highlight w:val="none"/>
          <w:u w:val="single"/>
        </w:rPr>
        <w:t>：00</w:t>
      </w:r>
      <w:r>
        <w:rPr>
          <w:rFonts w:hint="eastAsia" w:ascii="宋体" w:hAnsi="宋体" w:cs="宋体"/>
          <w:sz w:val="24"/>
          <w:szCs w:val="24"/>
          <w:highlight w:val="none"/>
        </w:rPr>
        <w:t>时（北京时间）；投标截止时间前，递交（或邮寄）纸质版投标文件。</w:t>
      </w:r>
    </w:p>
    <w:p>
      <w:pPr>
        <w:pStyle w:val="15"/>
        <w:spacing w:line="500" w:lineRule="exact"/>
        <w:ind w:left="17" w:hanging="16" w:hangingChars="7"/>
        <w:rPr>
          <w:rFonts w:hAnsi="宋体" w:cs="宋体"/>
          <w:sz w:val="24"/>
          <w:szCs w:val="24"/>
          <w:highlight w:val="none"/>
        </w:rPr>
      </w:pPr>
      <w:r>
        <w:rPr>
          <w:rFonts w:hint="eastAsia" w:hAnsi="宋体" w:cs="宋体"/>
          <w:sz w:val="24"/>
          <w:szCs w:val="24"/>
          <w:highlight w:val="none"/>
          <w:lang w:val="en-US" w:eastAsia="zh-CN"/>
        </w:rPr>
        <w:t>4</w:t>
      </w:r>
      <w:r>
        <w:rPr>
          <w:rFonts w:hint="eastAsia" w:hAnsi="宋体" w:cs="宋体"/>
          <w:sz w:val="24"/>
          <w:szCs w:val="24"/>
          <w:highlight w:val="none"/>
        </w:rPr>
        <w:t>.愿意参加投标的单位，须在</w:t>
      </w:r>
      <w:r>
        <w:rPr>
          <w:rFonts w:hint="eastAsia" w:hAnsi="宋体" w:cs="宋体"/>
          <w:sz w:val="24"/>
          <w:szCs w:val="24"/>
          <w:highlight w:val="none"/>
          <w:lang w:eastAsia="zh-CN"/>
        </w:rPr>
        <w:t>2025</w:t>
      </w:r>
      <w:r>
        <w:rPr>
          <w:rFonts w:hint="eastAsia" w:hAnsi="宋体" w:cs="宋体"/>
          <w:sz w:val="24"/>
          <w:szCs w:val="24"/>
          <w:highlight w:val="none"/>
        </w:rPr>
        <w:t>年</w:t>
      </w:r>
      <w:r>
        <w:rPr>
          <w:rFonts w:hint="eastAsia" w:hAnsi="宋体" w:cs="宋体"/>
          <w:sz w:val="24"/>
          <w:szCs w:val="24"/>
          <w:highlight w:val="none"/>
          <w:u w:val="single"/>
          <w:lang w:val="en-US" w:eastAsia="zh-CN"/>
        </w:rPr>
        <w:t xml:space="preserve"> 5 </w:t>
      </w:r>
      <w:r>
        <w:rPr>
          <w:rFonts w:hint="eastAsia" w:hAnsi="宋体" w:cs="宋体"/>
          <w:sz w:val="24"/>
          <w:szCs w:val="24"/>
          <w:highlight w:val="none"/>
        </w:rPr>
        <w:t>月</w:t>
      </w:r>
      <w:r>
        <w:rPr>
          <w:rFonts w:hint="eastAsia" w:hAnsi="宋体" w:cs="宋体"/>
          <w:sz w:val="24"/>
          <w:szCs w:val="24"/>
          <w:highlight w:val="none"/>
          <w:u w:val="single"/>
          <w:lang w:val="en-US" w:eastAsia="zh-CN"/>
        </w:rPr>
        <w:t xml:space="preserve"> 25 </w:t>
      </w:r>
      <w:r>
        <w:rPr>
          <w:rFonts w:hint="eastAsia" w:hAnsi="宋体" w:cs="宋体"/>
          <w:sz w:val="24"/>
          <w:szCs w:val="24"/>
          <w:highlight w:val="none"/>
        </w:rPr>
        <w:t>日15：00（北京时间）时之前电子邮件回函通知招标联系人。</w:t>
      </w:r>
    </w:p>
    <w:p>
      <w:pPr>
        <w:spacing w:line="500" w:lineRule="exact"/>
        <w:jc w:val="left"/>
        <w:rPr>
          <w:rFonts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w:t>
      </w:r>
      <w:r>
        <w:rPr>
          <w:rFonts w:hint="eastAsia" w:ascii="宋体" w:hAnsi="宋体" w:cs="宋体"/>
          <w:sz w:val="24"/>
          <w:szCs w:val="24"/>
          <w:highlight w:val="none"/>
          <w:lang w:eastAsia="zh-CN"/>
        </w:rPr>
        <w:t>招标人联系方式：</w:t>
      </w:r>
      <w:r>
        <w:rPr>
          <w:rFonts w:hint="eastAsia" w:ascii="宋体" w:hAnsi="宋体" w:cs="宋体"/>
          <w:sz w:val="24"/>
          <w:szCs w:val="24"/>
          <w:highlight w:val="none"/>
        </w:rPr>
        <w:t xml:space="preserve"> </w:t>
      </w:r>
    </w:p>
    <w:p>
      <w:pPr>
        <w:topLinePunct/>
        <w:spacing w:line="500" w:lineRule="exact"/>
        <w:ind w:firstLine="480" w:firstLineChars="200"/>
        <w:rPr>
          <w:rFonts w:ascii="宋体" w:hAnsi="宋体" w:cs="宋体"/>
          <w:sz w:val="24"/>
          <w:szCs w:val="24"/>
          <w:highlight w:val="none"/>
          <w:u w:val="single"/>
        </w:rPr>
      </w:pPr>
      <w:r>
        <w:rPr>
          <w:rFonts w:hint="eastAsia" w:ascii="宋体" w:hAnsi="宋体" w:cs="宋体"/>
          <w:sz w:val="24"/>
          <w:szCs w:val="24"/>
          <w:highlight w:val="none"/>
        </w:rPr>
        <w:t>招标人：</w:t>
      </w:r>
      <w:r>
        <w:rPr>
          <w:rFonts w:hint="eastAsia" w:ascii="宋体" w:hAnsi="宋体" w:cs="宋体"/>
          <w:sz w:val="24"/>
          <w:szCs w:val="24"/>
          <w:highlight w:val="none"/>
          <w:u w:val="single"/>
        </w:rPr>
        <w:t>福建省</w:t>
      </w:r>
      <w:r>
        <w:rPr>
          <w:rFonts w:hint="eastAsia" w:hAnsi="宋体" w:cs="宋体"/>
          <w:sz w:val="24"/>
          <w:szCs w:val="24"/>
          <w:highlight w:val="none"/>
          <w:u w:val="single"/>
        </w:rPr>
        <w:t>福能海峡发电</w:t>
      </w:r>
      <w:r>
        <w:rPr>
          <w:rFonts w:hint="eastAsia" w:ascii="宋体" w:hAnsi="宋体" w:cs="宋体"/>
          <w:sz w:val="24"/>
          <w:szCs w:val="24"/>
          <w:highlight w:val="none"/>
          <w:u w:val="single"/>
        </w:rPr>
        <w:t xml:space="preserve">有限公司 </w:t>
      </w:r>
    </w:p>
    <w:p>
      <w:pPr>
        <w:topLinePunct/>
        <w:spacing w:line="500" w:lineRule="exact"/>
        <w:ind w:firstLine="480" w:firstLineChars="200"/>
        <w:rPr>
          <w:rFonts w:hint="eastAsia" w:ascii="宋体" w:hAnsi="宋体" w:eastAsia="宋体" w:cs="宋体"/>
          <w:i/>
          <w:sz w:val="24"/>
          <w:szCs w:val="24"/>
          <w:highlight w:val="none"/>
          <w:lang w:eastAsia="zh-CN"/>
        </w:rPr>
      </w:pPr>
      <w:r>
        <w:rPr>
          <w:rFonts w:hint="eastAsia" w:ascii="宋体" w:hAnsi="宋体" w:cs="宋体"/>
          <w:sz w:val="24"/>
          <w:szCs w:val="24"/>
          <w:highlight w:val="none"/>
        </w:rPr>
        <w:t>联系地址：</w:t>
      </w:r>
      <w:r>
        <w:rPr>
          <w:rFonts w:hint="eastAsia" w:ascii="宋体" w:hAnsi="宋体" w:eastAsia="宋体" w:cs="宋体"/>
          <w:sz w:val="24"/>
          <w:szCs w:val="24"/>
        </w:rPr>
        <w:t>福建福州市长乐区文武砂</w:t>
      </w:r>
      <w:r>
        <w:rPr>
          <w:rFonts w:hint="eastAsia" w:ascii="宋体" w:hAnsi="宋体" w:cs="宋体"/>
          <w:sz w:val="24"/>
          <w:szCs w:val="24"/>
          <w:lang w:eastAsia="zh-CN"/>
        </w:rPr>
        <w:t>街道</w:t>
      </w:r>
      <w:r>
        <w:rPr>
          <w:rFonts w:hint="eastAsia" w:ascii="宋体" w:hAnsi="宋体" w:eastAsia="宋体" w:cs="宋体"/>
          <w:sz w:val="24"/>
          <w:szCs w:val="24"/>
        </w:rPr>
        <w:t>东南大数据产业园研发楼3期</w:t>
      </w:r>
      <w:r>
        <w:rPr>
          <w:rFonts w:hint="eastAsia" w:ascii="宋体" w:hAnsi="宋体" w:cs="宋体"/>
          <w:sz w:val="24"/>
          <w:szCs w:val="24"/>
          <w:lang w:val="en-US" w:eastAsia="zh-CN"/>
        </w:rPr>
        <w:t>8</w:t>
      </w:r>
      <w:r>
        <w:rPr>
          <w:rFonts w:hint="eastAsia" w:ascii="宋体" w:hAnsi="宋体" w:eastAsia="宋体" w:cs="宋体"/>
          <w:sz w:val="24"/>
          <w:szCs w:val="24"/>
        </w:rPr>
        <w:t>号楼</w:t>
      </w:r>
      <w:r>
        <w:rPr>
          <w:rFonts w:hint="eastAsia" w:ascii="宋体" w:hAnsi="宋体" w:cs="宋体"/>
          <w:sz w:val="24"/>
          <w:szCs w:val="24"/>
          <w:lang w:val="en-US" w:eastAsia="zh-CN"/>
        </w:rPr>
        <w:t>8</w:t>
      </w:r>
      <w:r>
        <w:rPr>
          <w:rFonts w:hint="eastAsia" w:ascii="宋体" w:hAnsi="宋体" w:eastAsia="宋体" w:cs="宋体"/>
          <w:sz w:val="24"/>
          <w:szCs w:val="24"/>
        </w:rPr>
        <w:t>层（近文武砂路双龙路路口）</w:t>
      </w:r>
    </w:p>
    <w:p>
      <w:pPr>
        <w:topLinePunct/>
        <w:spacing w:line="500" w:lineRule="exact"/>
        <w:ind w:firstLine="480" w:firstLineChars="200"/>
        <w:rPr>
          <w:rFonts w:ascii="宋体" w:hAnsi="宋体" w:cs="宋体"/>
          <w:i/>
          <w:sz w:val="24"/>
          <w:szCs w:val="24"/>
          <w:highlight w:val="none"/>
        </w:rPr>
      </w:pPr>
      <w:r>
        <w:rPr>
          <w:rFonts w:hint="eastAsia" w:ascii="宋体" w:hAnsi="宋体" w:cs="宋体"/>
          <w:sz w:val="24"/>
          <w:szCs w:val="24"/>
          <w:highlight w:val="none"/>
        </w:rPr>
        <w:t>联 系 人：</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eastAsia="zh-CN"/>
        </w:rPr>
        <w:t>刘海军</w:t>
      </w:r>
      <w:r>
        <w:rPr>
          <w:rFonts w:hint="eastAsia" w:ascii="宋体" w:hAnsi="宋体" w:cs="宋体"/>
          <w:sz w:val="24"/>
          <w:szCs w:val="24"/>
          <w:highlight w:val="none"/>
          <w:u w:val="single"/>
        </w:rPr>
        <w:t xml:space="preserve">   </w:t>
      </w:r>
    </w:p>
    <w:p>
      <w:pPr>
        <w:spacing w:line="500" w:lineRule="exact"/>
        <w:ind w:firstLine="480" w:firstLineChars="200"/>
        <w:rPr>
          <w:rFonts w:ascii="宋体" w:hAnsi="宋体" w:cs="宋体"/>
          <w:sz w:val="24"/>
          <w:szCs w:val="24"/>
          <w:highlight w:val="none"/>
          <w:u w:val="single"/>
        </w:rPr>
      </w:pPr>
      <w:r>
        <w:rPr>
          <w:rFonts w:hint="eastAsia" w:ascii="宋体" w:hAnsi="宋体" w:cs="宋体"/>
          <w:sz w:val="24"/>
          <w:szCs w:val="24"/>
          <w:highlight w:val="none"/>
        </w:rPr>
        <w:t>电    话：</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15259186296</w:t>
      </w:r>
      <w:r>
        <w:rPr>
          <w:rFonts w:hint="eastAsia" w:ascii="宋体" w:hAnsi="宋体" w:cs="宋体"/>
          <w:sz w:val="24"/>
          <w:szCs w:val="24"/>
          <w:highlight w:val="none"/>
          <w:u w:val="single"/>
        </w:rPr>
        <w:t xml:space="preserve">  </w:t>
      </w:r>
    </w:p>
    <w:p>
      <w:pPr>
        <w:spacing w:line="500" w:lineRule="exact"/>
        <w:ind w:firstLine="480" w:firstLineChars="200"/>
        <w:rPr>
          <w:rFonts w:ascii="宋体" w:hAnsi="宋体" w:cs="宋体"/>
          <w:i/>
          <w:sz w:val="24"/>
          <w:szCs w:val="24"/>
          <w:highlight w:val="none"/>
        </w:rPr>
      </w:pPr>
      <w:r>
        <w:rPr>
          <w:rFonts w:hint="eastAsia" w:ascii="宋体" w:hAnsi="宋体" w:cs="宋体"/>
          <w:sz w:val="24"/>
          <w:szCs w:val="24"/>
          <w:highlight w:val="none"/>
        </w:rPr>
        <w:t>邮    箱：</w:t>
      </w:r>
      <w:r>
        <w:rPr>
          <w:rFonts w:hint="eastAsia" w:ascii="宋体" w:hAnsi="宋体" w:cs="宋体"/>
          <w:sz w:val="24"/>
          <w:szCs w:val="24"/>
          <w:highlight w:val="none"/>
          <w:u w:val="single"/>
          <w:lang w:val="en-US" w:eastAsia="zh-CN"/>
        </w:rPr>
        <w:t>923839150</w:t>
      </w:r>
      <w:r>
        <w:rPr>
          <w:rFonts w:hint="eastAsia" w:ascii="宋体" w:hAnsi="宋体" w:cs="宋体"/>
          <w:sz w:val="24"/>
          <w:szCs w:val="24"/>
          <w:highlight w:val="none"/>
          <w:u w:val="single"/>
        </w:rPr>
        <w:t xml:space="preserve">@qq.com </w:t>
      </w:r>
    </w:p>
    <w:p>
      <w:pPr>
        <w:spacing w:line="360" w:lineRule="auto"/>
        <w:jc w:val="right"/>
        <w:rPr>
          <w:rFonts w:ascii="宋体" w:hAnsi="宋体" w:cs="宋体"/>
          <w:sz w:val="24"/>
          <w:szCs w:val="24"/>
          <w:highlight w:val="none"/>
        </w:rPr>
      </w:pPr>
    </w:p>
    <w:p>
      <w:pPr>
        <w:widowControl/>
        <w:jc w:val="left"/>
        <w:rPr>
          <w:rFonts w:ascii="宋体" w:hAnsi="宋体" w:cs="宋体"/>
          <w:b/>
          <w:spacing w:val="80"/>
          <w:sz w:val="24"/>
          <w:szCs w:val="24"/>
          <w:highlight w:val="none"/>
        </w:rPr>
      </w:pPr>
      <w:r>
        <w:rPr>
          <w:rFonts w:ascii="宋体" w:hAnsi="宋体" w:cs="宋体"/>
          <w:b/>
          <w:spacing w:val="80"/>
          <w:sz w:val="24"/>
          <w:szCs w:val="24"/>
          <w:highlight w:val="none"/>
        </w:rPr>
        <w:br w:type="page"/>
      </w:r>
    </w:p>
    <w:p>
      <w:pPr>
        <w:spacing w:before="120"/>
        <w:rPr>
          <w:rFonts w:ascii="宋体" w:hAnsi="宋体" w:cs="宋体"/>
          <w:b/>
          <w:spacing w:val="80"/>
          <w:sz w:val="24"/>
          <w:szCs w:val="24"/>
          <w:highlight w:val="none"/>
        </w:rPr>
      </w:pPr>
    </w:p>
    <w:p>
      <w:pPr>
        <w:spacing w:before="120"/>
        <w:jc w:val="center"/>
        <w:rPr>
          <w:rFonts w:ascii="宋体" w:hAnsi="宋体" w:cs="宋体"/>
          <w:b/>
          <w:spacing w:val="80"/>
          <w:sz w:val="24"/>
          <w:szCs w:val="24"/>
          <w:highlight w:val="none"/>
        </w:rPr>
      </w:pPr>
      <w:r>
        <w:rPr>
          <w:rFonts w:hint="eastAsia" w:ascii="宋体" w:hAnsi="宋体" w:cs="宋体"/>
          <w:b/>
          <w:spacing w:val="80"/>
          <w:sz w:val="24"/>
          <w:szCs w:val="24"/>
          <w:highlight w:val="none"/>
        </w:rPr>
        <w:t>投标函（格式）</w:t>
      </w:r>
    </w:p>
    <w:p>
      <w:pPr>
        <w:snapToGrid w:val="0"/>
        <w:spacing w:before="240" w:line="300" w:lineRule="auto"/>
        <w:rPr>
          <w:rFonts w:ascii="宋体" w:hAnsi="宋体" w:cs="宋体"/>
          <w:sz w:val="24"/>
          <w:szCs w:val="24"/>
          <w:highlight w:val="none"/>
        </w:rPr>
      </w:pPr>
    </w:p>
    <w:p>
      <w:pPr>
        <w:snapToGrid w:val="0"/>
        <w:spacing w:before="240" w:line="300" w:lineRule="auto"/>
        <w:rPr>
          <w:rFonts w:ascii="宋体" w:hAnsi="宋体" w:cs="宋体"/>
          <w:sz w:val="24"/>
          <w:szCs w:val="24"/>
          <w:highlight w:val="none"/>
        </w:rPr>
      </w:pPr>
      <w:r>
        <w:rPr>
          <w:rFonts w:hint="eastAsia" w:ascii="宋体" w:hAnsi="宋体" w:cs="宋体"/>
          <w:sz w:val="24"/>
          <w:szCs w:val="24"/>
          <w:highlight w:val="none"/>
          <w:u w:val="single"/>
        </w:rPr>
        <w:t>福建省</w:t>
      </w:r>
      <w:r>
        <w:rPr>
          <w:rFonts w:hint="eastAsia" w:hAnsi="宋体" w:cs="宋体"/>
          <w:sz w:val="24"/>
          <w:szCs w:val="24"/>
          <w:highlight w:val="none"/>
          <w:u w:val="single"/>
        </w:rPr>
        <w:t>福能海峡发电</w:t>
      </w:r>
      <w:r>
        <w:rPr>
          <w:rFonts w:hint="eastAsia" w:ascii="宋体" w:hAnsi="宋体" w:cs="宋体"/>
          <w:sz w:val="24"/>
          <w:szCs w:val="24"/>
          <w:highlight w:val="none"/>
          <w:u w:val="single"/>
        </w:rPr>
        <w:t>有限公司</w:t>
      </w:r>
      <w:r>
        <w:rPr>
          <w:rFonts w:hint="eastAsia" w:ascii="宋体" w:hAnsi="宋体" w:cs="宋体"/>
          <w:sz w:val="24"/>
          <w:szCs w:val="24"/>
          <w:highlight w:val="none"/>
        </w:rPr>
        <w:t>：</w:t>
      </w:r>
    </w:p>
    <w:p>
      <w:pPr>
        <w:tabs>
          <w:tab w:val="left" w:pos="0"/>
        </w:tabs>
        <w:snapToGrid w:val="0"/>
        <w:spacing w:line="300" w:lineRule="auto"/>
        <w:ind w:firstLine="480" w:firstLineChars="200"/>
        <w:rPr>
          <w:rFonts w:ascii="宋体" w:hAnsi="宋体" w:cs="宋体"/>
          <w:sz w:val="24"/>
          <w:szCs w:val="24"/>
          <w:highlight w:val="none"/>
        </w:rPr>
      </w:pPr>
      <w:r>
        <w:rPr>
          <w:rFonts w:hint="eastAsia" w:ascii="宋体" w:hAnsi="宋体" w:cs="宋体"/>
          <w:sz w:val="24"/>
          <w:szCs w:val="24"/>
          <w:highlight w:val="none"/>
        </w:rPr>
        <w:t>我公司同意参加</w:t>
      </w:r>
      <w:r>
        <w:rPr>
          <w:rFonts w:hint="eastAsia" w:ascii="宋体" w:hAnsi="宋体" w:cs="宋体"/>
          <w:sz w:val="24"/>
          <w:szCs w:val="24"/>
          <w:highlight w:val="none"/>
          <w:lang w:eastAsia="zh-CN"/>
        </w:rPr>
        <w:t>贵单位</w:t>
      </w:r>
      <w:r>
        <w:rPr>
          <w:rFonts w:hint="eastAsia" w:ascii="宋体" w:hAnsi="宋体"/>
          <w:bCs/>
          <w:color w:val="auto"/>
          <w:sz w:val="24"/>
          <w:lang w:val="en-US" w:eastAsia="zh-CN"/>
        </w:rPr>
        <w:t>2025年度龙下风电场构筑物防雷装置安全检测项目</w:t>
      </w:r>
      <w:r>
        <w:rPr>
          <w:rFonts w:hint="eastAsia" w:ascii="宋体" w:hAnsi="宋体" w:cs="宋体"/>
          <w:sz w:val="24"/>
          <w:szCs w:val="24"/>
          <w:highlight w:val="none"/>
        </w:rPr>
        <w:t>的投标，并按招标文件要求编制投标文件参加投标。如有疑问或需要澄清的问题我公司将及时与贵单位联系。</w:t>
      </w:r>
    </w:p>
    <w:p>
      <w:pPr>
        <w:snapToGrid w:val="0"/>
        <w:spacing w:line="300" w:lineRule="auto"/>
        <w:ind w:firstLine="570"/>
        <w:rPr>
          <w:rFonts w:ascii="宋体" w:hAnsi="宋体" w:cs="宋体"/>
          <w:sz w:val="24"/>
          <w:szCs w:val="24"/>
          <w:highlight w:val="none"/>
        </w:rPr>
      </w:pPr>
    </w:p>
    <w:p>
      <w:pPr>
        <w:snapToGrid w:val="0"/>
        <w:spacing w:line="300" w:lineRule="auto"/>
        <w:ind w:firstLine="570"/>
        <w:rPr>
          <w:rFonts w:ascii="宋体" w:hAnsi="宋体" w:cs="宋体"/>
          <w:sz w:val="24"/>
          <w:szCs w:val="24"/>
          <w:highlight w:val="none"/>
        </w:rPr>
      </w:pPr>
    </w:p>
    <w:p>
      <w:pPr>
        <w:snapToGrid w:val="0"/>
        <w:spacing w:line="300" w:lineRule="auto"/>
        <w:ind w:firstLine="420"/>
        <w:rPr>
          <w:rFonts w:ascii="宋体" w:hAnsi="宋体" w:cs="宋体"/>
          <w:sz w:val="24"/>
          <w:szCs w:val="24"/>
          <w:highlight w:val="none"/>
        </w:rPr>
      </w:pPr>
      <w:r>
        <w:rPr>
          <w:rFonts w:hint="eastAsia" w:ascii="宋体" w:hAnsi="宋体" w:cs="宋体"/>
          <w:sz w:val="24"/>
          <w:szCs w:val="24"/>
          <w:highlight w:val="none"/>
        </w:rPr>
        <w:t>单位全称：</w:t>
      </w:r>
    </w:p>
    <w:p>
      <w:pPr>
        <w:snapToGrid w:val="0"/>
        <w:spacing w:line="300" w:lineRule="auto"/>
        <w:ind w:firstLine="420"/>
        <w:rPr>
          <w:rFonts w:ascii="宋体" w:hAnsi="宋体" w:cs="宋体"/>
          <w:sz w:val="24"/>
          <w:szCs w:val="24"/>
          <w:highlight w:val="none"/>
        </w:rPr>
      </w:pPr>
      <w:r>
        <w:rPr>
          <w:rFonts w:hint="eastAsia" w:ascii="宋体" w:hAnsi="宋体" w:cs="宋体"/>
          <w:sz w:val="24"/>
          <w:szCs w:val="24"/>
          <w:highlight w:val="none"/>
        </w:rPr>
        <w:t xml:space="preserve">通讯地址： </w:t>
      </w:r>
    </w:p>
    <w:p>
      <w:pPr>
        <w:snapToGrid w:val="0"/>
        <w:spacing w:line="300" w:lineRule="auto"/>
        <w:ind w:firstLine="420"/>
        <w:rPr>
          <w:rFonts w:ascii="宋体" w:hAnsi="宋体" w:cs="宋体"/>
          <w:sz w:val="24"/>
          <w:szCs w:val="24"/>
          <w:highlight w:val="none"/>
        </w:rPr>
      </w:pPr>
      <w:r>
        <w:rPr>
          <w:rFonts w:hint="eastAsia" w:ascii="宋体" w:hAnsi="宋体" w:cs="宋体"/>
          <w:sz w:val="24"/>
          <w:szCs w:val="24"/>
          <w:highlight w:val="none"/>
        </w:rPr>
        <w:t>联系部门：</w:t>
      </w:r>
    </w:p>
    <w:p>
      <w:pPr>
        <w:snapToGrid w:val="0"/>
        <w:spacing w:line="300" w:lineRule="auto"/>
        <w:ind w:firstLine="420"/>
        <w:rPr>
          <w:rFonts w:ascii="宋体" w:hAnsi="宋体" w:cs="宋体"/>
          <w:sz w:val="24"/>
          <w:szCs w:val="24"/>
          <w:highlight w:val="none"/>
        </w:rPr>
      </w:pPr>
      <w:r>
        <w:rPr>
          <w:rFonts w:hint="eastAsia" w:ascii="宋体" w:hAnsi="宋体" w:cs="宋体"/>
          <w:sz w:val="24"/>
          <w:szCs w:val="24"/>
          <w:highlight w:val="none"/>
        </w:rPr>
        <w:t>联系人姓名：</w:t>
      </w:r>
    </w:p>
    <w:p>
      <w:pPr>
        <w:snapToGrid w:val="0"/>
        <w:spacing w:line="300" w:lineRule="auto"/>
        <w:ind w:firstLine="420"/>
        <w:rPr>
          <w:rFonts w:ascii="宋体" w:hAnsi="宋体" w:cs="宋体"/>
          <w:sz w:val="24"/>
          <w:szCs w:val="24"/>
          <w:highlight w:val="none"/>
        </w:rPr>
      </w:pPr>
      <w:r>
        <w:rPr>
          <w:rFonts w:hint="eastAsia" w:ascii="宋体" w:hAnsi="宋体" w:cs="宋体"/>
          <w:sz w:val="24"/>
          <w:szCs w:val="24"/>
          <w:highlight w:val="none"/>
        </w:rPr>
        <w:t>联系人职务：</w:t>
      </w:r>
    </w:p>
    <w:p>
      <w:pPr>
        <w:snapToGrid w:val="0"/>
        <w:spacing w:line="300" w:lineRule="auto"/>
        <w:ind w:firstLine="420"/>
        <w:rPr>
          <w:rFonts w:ascii="宋体" w:hAnsi="宋体" w:cs="宋体"/>
          <w:sz w:val="24"/>
          <w:szCs w:val="24"/>
          <w:highlight w:val="none"/>
        </w:rPr>
      </w:pPr>
      <w:r>
        <w:rPr>
          <w:rFonts w:hint="eastAsia" w:ascii="宋体" w:hAnsi="宋体" w:cs="宋体"/>
          <w:sz w:val="24"/>
          <w:szCs w:val="24"/>
          <w:highlight w:val="none"/>
        </w:rPr>
        <w:t>邮    编：</w:t>
      </w:r>
    </w:p>
    <w:p>
      <w:pPr>
        <w:snapToGrid w:val="0"/>
        <w:spacing w:line="300" w:lineRule="auto"/>
        <w:ind w:firstLine="420"/>
        <w:rPr>
          <w:rFonts w:ascii="宋体" w:hAnsi="宋体" w:cs="宋体"/>
          <w:sz w:val="24"/>
          <w:szCs w:val="24"/>
          <w:highlight w:val="none"/>
        </w:rPr>
      </w:pPr>
      <w:r>
        <w:rPr>
          <w:rFonts w:hint="eastAsia" w:ascii="宋体" w:hAnsi="宋体" w:cs="宋体"/>
          <w:sz w:val="24"/>
          <w:szCs w:val="24"/>
          <w:highlight w:val="none"/>
        </w:rPr>
        <w:t>联系电话/手机：</w:t>
      </w:r>
    </w:p>
    <w:p>
      <w:pPr>
        <w:snapToGrid w:val="0"/>
        <w:spacing w:line="300" w:lineRule="auto"/>
        <w:ind w:firstLine="420"/>
        <w:rPr>
          <w:rFonts w:ascii="宋体" w:hAnsi="宋体" w:cs="宋体"/>
          <w:sz w:val="24"/>
          <w:szCs w:val="24"/>
          <w:highlight w:val="none"/>
        </w:rPr>
      </w:pPr>
      <w:r>
        <w:rPr>
          <w:rFonts w:hint="eastAsia" w:ascii="宋体" w:hAnsi="宋体" w:cs="宋体"/>
          <w:sz w:val="24"/>
          <w:szCs w:val="24"/>
          <w:highlight w:val="none"/>
        </w:rPr>
        <w:t>传    真：</w:t>
      </w:r>
    </w:p>
    <w:p>
      <w:pPr>
        <w:snapToGrid w:val="0"/>
        <w:spacing w:line="300" w:lineRule="auto"/>
        <w:ind w:firstLine="420"/>
        <w:rPr>
          <w:rFonts w:ascii="宋体" w:hAnsi="宋体" w:cs="宋体"/>
          <w:sz w:val="24"/>
          <w:szCs w:val="24"/>
          <w:highlight w:val="none"/>
        </w:rPr>
      </w:pPr>
    </w:p>
    <w:p>
      <w:pPr>
        <w:snapToGrid w:val="0"/>
        <w:spacing w:line="300" w:lineRule="auto"/>
        <w:ind w:firstLine="420"/>
        <w:rPr>
          <w:rFonts w:ascii="宋体" w:hAnsi="宋体" w:cs="宋体"/>
          <w:sz w:val="24"/>
          <w:szCs w:val="24"/>
          <w:highlight w:val="none"/>
        </w:rPr>
      </w:pPr>
    </w:p>
    <w:p>
      <w:pPr>
        <w:snapToGrid w:val="0"/>
        <w:spacing w:line="300" w:lineRule="auto"/>
        <w:ind w:firstLine="420"/>
        <w:rPr>
          <w:rFonts w:ascii="宋体" w:hAnsi="宋体" w:cs="宋体"/>
          <w:sz w:val="24"/>
          <w:szCs w:val="24"/>
          <w:highlight w:val="none"/>
        </w:rPr>
      </w:pPr>
    </w:p>
    <w:p>
      <w:pPr>
        <w:snapToGrid w:val="0"/>
        <w:spacing w:line="300" w:lineRule="auto"/>
        <w:jc w:val="center"/>
        <w:rPr>
          <w:rFonts w:ascii="宋体" w:hAnsi="宋体" w:cs="宋体"/>
          <w:sz w:val="24"/>
          <w:szCs w:val="24"/>
          <w:highlight w:val="none"/>
        </w:rPr>
      </w:pPr>
      <w:r>
        <w:rPr>
          <w:rFonts w:hint="eastAsia" w:ascii="宋体" w:hAnsi="宋体" w:cs="宋体"/>
          <w:sz w:val="24"/>
          <w:szCs w:val="24"/>
          <w:highlight w:val="none"/>
        </w:rPr>
        <w:t xml:space="preserve">                          单位  （盖章）</w:t>
      </w:r>
    </w:p>
    <w:p>
      <w:pPr>
        <w:snapToGrid w:val="0"/>
        <w:spacing w:line="300" w:lineRule="auto"/>
        <w:rPr>
          <w:rFonts w:ascii="宋体" w:hAnsi="宋体" w:cs="宋体"/>
          <w:sz w:val="24"/>
          <w:szCs w:val="24"/>
          <w:highlight w:val="none"/>
        </w:rPr>
      </w:pPr>
    </w:p>
    <w:p>
      <w:pPr>
        <w:snapToGrid w:val="0"/>
        <w:spacing w:line="300" w:lineRule="auto"/>
        <w:rPr>
          <w:rFonts w:ascii="宋体" w:hAnsi="宋体" w:cs="宋体"/>
          <w:sz w:val="24"/>
          <w:szCs w:val="24"/>
          <w:highlight w:val="none"/>
        </w:rPr>
      </w:pPr>
      <w:r>
        <w:rPr>
          <w:rFonts w:hint="eastAsia" w:ascii="宋体" w:hAnsi="宋体" w:cs="宋体"/>
          <w:sz w:val="24"/>
          <w:szCs w:val="24"/>
          <w:highlight w:val="none"/>
        </w:rPr>
        <w:t xml:space="preserve">                                           签名：</w:t>
      </w:r>
    </w:p>
    <w:p>
      <w:pPr>
        <w:snapToGrid w:val="0"/>
        <w:spacing w:line="300" w:lineRule="auto"/>
        <w:rPr>
          <w:rFonts w:ascii="宋体" w:hAnsi="宋体" w:cs="宋体"/>
          <w:sz w:val="24"/>
          <w:szCs w:val="24"/>
          <w:highlight w:val="none"/>
        </w:rPr>
      </w:pPr>
      <w:r>
        <w:rPr>
          <w:rFonts w:hint="eastAsia" w:ascii="宋体" w:hAnsi="宋体" w:cs="宋体"/>
          <w:sz w:val="24"/>
          <w:szCs w:val="24"/>
          <w:highlight w:val="none"/>
        </w:rPr>
        <w:t xml:space="preserve">                                           职务：</w:t>
      </w:r>
    </w:p>
    <w:p>
      <w:pPr>
        <w:snapToGrid w:val="0"/>
        <w:spacing w:line="300" w:lineRule="auto"/>
        <w:rPr>
          <w:rFonts w:ascii="宋体" w:hAnsi="宋体" w:cs="宋体"/>
          <w:sz w:val="24"/>
          <w:szCs w:val="24"/>
          <w:highlight w:val="none"/>
        </w:rPr>
      </w:pPr>
      <w:r>
        <w:rPr>
          <w:rFonts w:hint="eastAsia" w:ascii="宋体" w:hAnsi="宋体" w:cs="宋体"/>
          <w:sz w:val="24"/>
          <w:szCs w:val="24"/>
          <w:highlight w:val="none"/>
        </w:rPr>
        <w:t xml:space="preserve">                                              年   月   日</w:t>
      </w:r>
    </w:p>
    <w:p>
      <w:pPr>
        <w:adjustRightInd w:val="0"/>
        <w:snapToGrid w:val="0"/>
        <w:spacing w:beforeLines="25" w:afterLines="25" w:line="360" w:lineRule="auto"/>
        <w:jc w:val="center"/>
        <w:outlineLvl w:val="0"/>
        <w:rPr>
          <w:rFonts w:eastAsia="黑体" w:cs="Arial"/>
          <w:sz w:val="30"/>
          <w:szCs w:val="30"/>
          <w:highlight w:val="none"/>
        </w:rPr>
      </w:pPr>
    </w:p>
    <w:p>
      <w:pPr>
        <w:adjustRightInd w:val="0"/>
        <w:snapToGrid w:val="0"/>
        <w:spacing w:beforeLines="25" w:afterLines="25" w:line="360" w:lineRule="auto"/>
        <w:jc w:val="center"/>
        <w:outlineLvl w:val="0"/>
        <w:rPr>
          <w:rFonts w:eastAsia="黑体" w:cs="Arial"/>
          <w:sz w:val="30"/>
          <w:szCs w:val="30"/>
          <w:highlight w:val="none"/>
        </w:rPr>
      </w:pPr>
    </w:p>
    <w:p>
      <w:pPr>
        <w:adjustRightInd w:val="0"/>
        <w:snapToGrid w:val="0"/>
        <w:spacing w:beforeLines="25" w:afterLines="25" w:line="360" w:lineRule="auto"/>
        <w:jc w:val="center"/>
        <w:outlineLvl w:val="0"/>
        <w:rPr>
          <w:rFonts w:eastAsia="黑体" w:cs="Arial"/>
          <w:sz w:val="30"/>
          <w:szCs w:val="30"/>
          <w:highlight w:val="none"/>
        </w:rPr>
      </w:pPr>
    </w:p>
    <w:p>
      <w:pPr>
        <w:adjustRightInd w:val="0"/>
        <w:snapToGrid w:val="0"/>
        <w:spacing w:beforeLines="25" w:afterLines="25" w:line="360" w:lineRule="auto"/>
        <w:jc w:val="center"/>
        <w:outlineLvl w:val="0"/>
        <w:rPr>
          <w:rFonts w:eastAsia="黑体" w:cs="Arial"/>
          <w:sz w:val="30"/>
          <w:szCs w:val="30"/>
          <w:highlight w:val="none"/>
        </w:rPr>
      </w:pPr>
    </w:p>
    <w:p>
      <w:pPr>
        <w:adjustRightInd w:val="0"/>
        <w:snapToGrid w:val="0"/>
        <w:spacing w:beforeLines="25" w:afterLines="25" w:line="360" w:lineRule="auto"/>
        <w:outlineLvl w:val="0"/>
        <w:rPr>
          <w:rFonts w:eastAsia="黑体" w:cs="Arial"/>
          <w:sz w:val="30"/>
          <w:szCs w:val="30"/>
          <w:highlight w:val="none"/>
        </w:rPr>
      </w:pPr>
    </w:p>
    <w:p>
      <w:pPr>
        <w:spacing w:line="300" w:lineRule="auto"/>
        <w:jc w:val="center"/>
        <w:rPr>
          <w:rFonts w:hint="eastAsia" w:ascii="黑体" w:hAnsi="黑体" w:eastAsia="黑体" w:cs="黑体"/>
          <w:sz w:val="36"/>
          <w:szCs w:val="36"/>
          <w:highlight w:val="none"/>
        </w:rPr>
      </w:pPr>
    </w:p>
    <w:p>
      <w:pPr>
        <w:pStyle w:val="21"/>
        <w:rPr>
          <w:rFonts w:hint="eastAsia" w:ascii="黑体" w:hAnsi="黑体" w:eastAsia="黑体" w:cs="黑体"/>
          <w:sz w:val="36"/>
          <w:szCs w:val="36"/>
          <w:highlight w:val="none"/>
        </w:rPr>
      </w:pPr>
    </w:p>
    <w:p>
      <w:pPr>
        <w:pStyle w:val="21"/>
        <w:rPr>
          <w:rFonts w:hint="eastAsia" w:ascii="黑体" w:hAnsi="黑体" w:eastAsia="黑体" w:cs="黑体"/>
          <w:sz w:val="36"/>
          <w:szCs w:val="36"/>
          <w:highlight w:val="none"/>
        </w:rPr>
      </w:pPr>
    </w:p>
    <w:p>
      <w:pPr>
        <w:pStyle w:val="6"/>
        <w:rPr>
          <w:rFonts w:hint="eastAsia"/>
        </w:rPr>
      </w:pPr>
    </w:p>
    <w:p>
      <w:pPr>
        <w:pStyle w:val="21"/>
        <w:rPr>
          <w:rFonts w:hint="eastAsia"/>
        </w:rPr>
      </w:pPr>
    </w:p>
    <w:p>
      <w:pPr>
        <w:spacing w:line="300" w:lineRule="auto"/>
        <w:jc w:val="center"/>
        <w:rPr>
          <w:rFonts w:ascii="黑体" w:hAnsi="黑体" w:eastAsia="黑体" w:cs="黑体"/>
          <w:sz w:val="36"/>
          <w:szCs w:val="36"/>
          <w:highlight w:val="none"/>
        </w:rPr>
      </w:pPr>
      <w:r>
        <w:rPr>
          <w:rFonts w:hint="eastAsia" w:ascii="黑体" w:hAnsi="黑体" w:eastAsia="黑体" w:cs="黑体"/>
          <w:sz w:val="36"/>
          <w:szCs w:val="36"/>
          <w:highlight w:val="none"/>
        </w:rPr>
        <w:t>福建省福能海峡发电有限公司</w:t>
      </w:r>
    </w:p>
    <w:p>
      <w:pPr>
        <w:spacing w:line="300" w:lineRule="auto"/>
        <w:jc w:val="center"/>
        <w:rPr>
          <w:rFonts w:ascii="黑体" w:hAnsi="黑体" w:eastAsia="黑体" w:cs="黑体"/>
          <w:sz w:val="36"/>
          <w:szCs w:val="36"/>
          <w:highlight w:val="none"/>
        </w:rPr>
      </w:pPr>
    </w:p>
    <w:p>
      <w:pPr>
        <w:spacing w:line="300" w:lineRule="auto"/>
        <w:jc w:val="center"/>
        <w:rPr>
          <w:rFonts w:hint="eastAsia" w:hAnsi="宋体" w:eastAsia="微软雅黑"/>
          <w:b/>
          <w:bCs w:val="0"/>
          <w:sz w:val="36"/>
          <w:szCs w:val="36"/>
          <w:highlight w:val="none"/>
          <w:lang w:val="en-US" w:eastAsia="zh-CN"/>
        </w:rPr>
      </w:pPr>
      <w:r>
        <w:rPr>
          <w:rFonts w:hint="eastAsia" w:hAnsi="宋体" w:eastAsia="微软雅黑"/>
          <w:b/>
          <w:bCs w:val="0"/>
          <w:sz w:val="36"/>
          <w:szCs w:val="36"/>
          <w:highlight w:val="none"/>
          <w:lang w:val="en-US" w:eastAsia="zh-CN"/>
        </w:rPr>
        <w:t>2025年度龙下风电场构筑物防雷装置安全检测项目</w:t>
      </w:r>
    </w:p>
    <w:p>
      <w:pPr>
        <w:spacing w:line="300" w:lineRule="auto"/>
        <w:jc w:val="center"/>
        <w:rPr>
          <w:rFonts w:eastAsia="微软雅黑" w:cs="Arial"/>
          <w:bCs/>
          <w:sz w:val="44"/>
          <w:szCs w:val="44"/>
          <w:highlight w:val="none"/>
        </w:rPr>
      </w:pPr>
      <w:r>
        <w:rPr>
          <w:rFonts w:hint="eastAsia" w:eastAsia="微软雅黑" w:cs="Arial"/>
          <w:bCs/>
          <w:sz w:val="44"/>
          <w:szCs w:val="44"/>
          <w:highlight w:val="none"/>
        </w:rPr>
        <w:t>询（比）价</w:t>
      </w:r>
      <w:r>
        <w:rPr>
          <w:rFonts w:eastAsia="微软雅黑" w:cs="Arial"/>
          <w:bCs/>
          <w:sz w:val="44"/>
          <w:szCs w:val="44"/>
          <w:highlight w:val="none"/>
        </w:rPr>
        <w:t>文件</w:t>
      </w:r>
    </w:p>
    <w:p>
      <w:pPr>
        <w:spacing w:line="300" w:lineRule="auto"/>
        <w:jc w:val="center"/>
        <w:rPr>
          <w:rFonts w:eastAsia="微软雅黑" w:cs="Arial"/>
          <w:sz w:val="32"/>
          <w:szCs w:val="32"/>
          <w:highlight w:val="none"/>
        </w:rPr>
      </w:pPr>
    </w:p>
    <w:p>
      <w:pPr>
        <w:spacing w:line="300" w:lineRule="auto"/>
        <w:jc w:val="center"/>
        <w:rPr>
          <w:rFonts w:eastAsia="微软雅黑" w:cs="Arial"/>
          <w:sz w:val="32"/>
          <w:szCs w:val="32"/>
          <w:highlight w:val="none"/>
        </w:rPr>
      </w:pPr>
    </w:p>
    <w:p>
      <w:pPr>
        <w:spacing w:line="300" w:lineRule="auto"/>
        <w:jc w:val="center"/>
        <w:rPr>
          <w:rFonts w:eastAsia="微软雅黑" w:cs="Arial"/>
          <w:sz w:val="32"/>
          <w:szCs w:val="32"/>
          <w:highlight w:val="none"/>
        </w:rPr>
      </w:pPr>
    </w:p>
    <w:p>
      <w:pPr>
        <w:spacing w:line="300" w:lineRule="auto"/>
        <w:jc w:val="center"/>
        <w:rPr>
          <w:rFonts w:hint="default" w:cs="Arial"/>
          <w:b/>
          <w:sz w:val="24"/>
          <w:highlight w:val="none"/>
          <w:lang w:val="en-US"/>
        </w:rPr>
      </w:pPr>
      <w:r>
        <w:rPr>
          <w:rFonts w:hint="eastAsia" w:eastAsia="微软雅黑" w:cs="Arial"/>
          <w:sz w:val="32"/>
          <w:szCs w:val="32"/>
          <w:highlight w:val="none"/>
        </w:rPr>
        <w:t>招标</w:t>
      </w:r>
      <w:r>
        <w:rPr>
          <w:rFonts w:eastAsia="微软雅黑" w:cs="Arial"/>
          <w:sz w:val="32"/>
          <w:szCs w:val="32"/>
          <w:highlight w:val="none"/>
        </w:rPr>
        <w:t>编号：</w:t>
      </w:r>
      <w:r>
        <w:rPr>
          <w:rFonts w:hint="eastAsia" w:ascii="微软雅黑" w:hAnsi="微软雅黑" w:eastAsia="微软雅黑" w:cs="微软雅黑"/>
          <w:kern w:val="0"/>
          <w:sz w:val="32"/>
          <w:szCs w:val="32"/>
          <w:highlight w:val="none"/>
        </w:rPr>
        <w:t>FNHX－XBJ</w:t>
      </w:r>
      <w:r>
        <w:rPr>
          <w:rFonts w:hint="eastAsia" w:ascii="微软雅黑" w:hAnsi="微软雅黑" w:eastAsia="微软雅黑" w:cs="微软雅黑"/>
          <w:kern w:val="0"/>
          <w:sz w:val="32"/>
          <w:szCs w:val="32"/>
          <w:highlight w:val="none"/>
          <w:lang w:eastAsia="zh-CN"/>
        </w:rPr>
        <w:t>2025</w:t>
      </w:r>
      <w:r>
        <w:rPr>
          <w:rFonts w:hint="eastAsia" w:ascii="微软雅黑" w:hAnsi="微软雅黑" w:eastAsia="微软雅黑" w:cs="微软雅黑"/>
          <w:kern w:val="0"/>
          <w:sz w:val="32"/>
          <w:szCs w:val="32"/>
          <w:highlight w:val="none"/>
          <w:lang w:val="en-US" w:eastAsia="zh-CN"/>
        </w:rPr>
        <w:t>15</w:t>
      </w:r>
    </w:p>
    <w:p>
      <w:pPr>
        <w:spacing w:line="300" w:lineRule="auto"/>
        <w:jc w:val="center"/>
        <w:rPr>
          <w:rFonts w:cs="Arial"/>
          <w:b/>
          <w:sz w:val="24"/>
          <w:highlight w:val="none"/>
        </w:rPr>
      </w:pPr>
    </w:p>
    <w:p>
      <w:pPr>
        <w:spacing w:line="300" w:lineRule="auto"/>
        <w:jc w:val="center"/>
        <w:rPr>
          <w:rFonts w:cs="Arial"/>
          <w:b/>
          <w:sz w:val="24"/>
          <w:highlight w:val="none"/>
        </w:rPr>
      </w:pPr>
    </w:p>
    <w:p>
      <w:pPr>
        <w:spacing w:line="300" w:lineRule="auto"/>
        <w:jc w:val="center"/>
        <w:rPr>
          <w:rFonts w:cs="Arial"/>
          <w:b/>
          <w:sz w:val="24"/>
          <w:highlight w:val="none"/>
        </w:rPr>
      </w:pPr>
    </w:p>
    <w:p>
      <w:pPr>
        <w:spacing w:line="300" w:lineRule="auto"/>
        <w:jc w:val="center"/>
        <w:rPr>
          <w:rFonts w:cs="Arial"/>
          <w:b/>
          <w:sz w:val="24"/>
          <w:highlight w:val="none"/>
        </w:rPr>
      </w:pPr>
    </w:p>
    <w:p>
      <w:pPr>
        <w:spacing w:line="300" w:lineRule="auto"/>
        <w:jc w:val="center"/>
        <w:rPr>
          <w:rFonts w:cs="Arial"/>
          <w:b/>
          <w:sz w:val="24"/>
          <w:highlight w:val="none"/>
        </w:rPr>
      </w:pPr>
    </w:p>
    <w:p>
      <w:pPr>
        <w:spacing w:line="300" w:lineRule="auto"/>
        <w:jc w:val="center"/>
        <w:rPr>
          <w:rFonts w:cs="Arial"/>
          <w:b/>
          <w:sz w:val="24"/>
          <w:highlight w:val="none"/>
        </w:rPr>
      </w:pPr>
    </w:p>
    <w:p>
      <w:pPr>
        <w:spacing w:line="300" w:lineRule="auto"/>
        <w:jc w:val="center"/>
        <w:rPr>
          <w:rFonts w:cs="Arial"/>
          <w:sz w:val="24"/>
          <w:highlight w:val="none"/>
        </w:rPr>
      </w:pPr>
    </w:p>
    <w:p>
      <w:pPr>
        <w:spacing w:line="300" w:lineRule="auto"/>
        <w:ind w:firstLine="2380" w:firstLineChars="850"/>
        <w:rPr>
          <w:rFonts w:eastAsia="微软雅黑" w:cs="Arial"/>
          <w:sz w:val="28"/>
          <w:szCs w:val="28"/>
          <w:highlight w:val="none"/>
        </w:rPr>
      </w:pPr>
      <w:r>
        <w:rPr>
          <w:rFonts w:hint="eastAsia" w:eastAsia="微软雅黑" w:cs="Arial"/>
          <w:sz w:val="28"/>
          <w:szCs w:val="28"/>
          <w:highlight w:val="none"/>
        </w:rPr>
        <w:t>招标人</w:t>
      </w:r>
      <w:r>
        <w:rPr>
          <w:rFonts w:eastAsia="微软雅黑" w:cs="Arial"/>
          <w:sz w:val="28"/>
          <w:szCs w:val="28"/>
          <w:highlight w:val="none"/>
        </w:rPr>
        <w:t>：</w:t>
      </w:r>
      <w:r>
        <w:rPr>
          <w:rFonts w:hint="eastAsia" w:ascii="宋体" w:hAnsi="宋体" w:cs="Arial"/>
          <w:sz w:val="28"/>
          <w:szCs w:val="28"/>
          <w:highlight w:val="none"/>
          <w:u w:val="single"/>
        </w:rPr>
        <w:t>福建省福能海峡发电有限公司</w:t>
      </w:r>
    </w:p>
    <w:p>
      <w:pPr>
        <w:jc w:val="center"/>
        <w:rPr>
          <w:rFonts w:eastAsia="微软雅黑" w:cs="Arial"/>
          <w:sz w:val="28"/>
          <w:highlight w:val="none"/>
        </w:rPr>
      </w:pPr>
      <w:r>
        <w:rPr>
          <w:rFonts w:hint="eastAsia" w:eastAsia="微软雅黑" w:cs="Arial"/>
          <w:sz w:val="28"/>
          <w:highlight w:val="none"/>
          <w:u w:val="single"/>
          <w:lang w:eastAsia="zh-CN"/>
        </w:rPr>
        <w:t>2025</w:t>
      </w:r>
      <w:r>
        <w:rPr>
          <w:rFonts w:eastAsia="微软雅黑" w:cs="Arial"/>
          <w:sz w:val="28"/>
          <w:highlight w:val="none"/>
        </w:rPr>
        <w:t>年</w:t>
      </w:r>
      <w:r>
        <w:rPr>
          <w:rFonts w:hint="eastAsia" w:eastAsia="微软雅黑" w:cs="Arial"/>
          <w:sz w:val="28"/>
          <w:highlight w:val="none"/>
          <w:u w:val="single"/>
          <w:lang w:val="en-US" w:eastAsia="zh-CN"/>
        </w:rPr>
        <w:t>5</w:t>
      </w:r>
      <w:r>
        <w:rPr>
          <w:rFonts w:eastAsia="微软雅黑" w:cs="Arial"/>
          <w:sz w:val="28"/>
          <w:highlight w:val="none"/>
        </w:rPr>
        <w:t>月</w:t>
      </w:r>
    </w:p>
    <w:bookmarkEnd w:id="0"/>
    <w:bookmarkEnd w:id="1"/>
    <w:bookmarkEnd w:id="2"/>
    <w:p>
      <w:pPr>
        <w:pStyle w:val="15"/>
        <w:rPr>
          <w:rFonts w:hAnsi="宋体"/>
          <w:b/>
          <w:sz w:val="36"/>
          <w:szCs w:val="36"/>
          <w:highlight w:val="none"/>
        </w:rPr>
      </w:pPr>
    </w:p>
    <w:p>
      <w:pPr>
        <w:pStyle w:val="15"/>
        <w:jc w:val="center"/>
        <w:rPr>
          <w:rFonts w:hAnsi="宋体"/>
          <w:b/>
          <w:sz w:val="36"/>
          <w:szCs w:val="36"/>
          <w:highlight w:val="none"/>
        </w:rPr>
      </w:pPr>
    </w:p>
    <w:p>
      <w:pPr>
        <w:pStyle w:val="15"/>
        <w:jc w:val="center"/>
        <w:rPr>
          <w:rFonts w:hAnsi="宋体"/>
          <w:b/>
          <w:sz w:val="36"/>
          <w:szCs w:val="36"/>
          <w:highlight w:val="none"/>
        </w:rPr>
      </w:pPr>
    </w:p>
    <w:p>
      <w:pPr>
        <w:pStyle w:val="15"/>
        <w:rPr>
          <w:rFonts w:hAnsi="宋体"/>
          <w:b/>
          <w:sz w:val="36"/>
          <w:szCs w:val="36"/>
          <w:highlight w:val="none"/>
        </w:rPr>
      </w:pPr>
    </w:p>
    <w:p>
      <w:pPr>
        <w:pStyle w:val="15"/>
        <w:jc w:val="center"/>
        <w:rPr>
          <w:rFonts w:hint="eastAsia" w:hAnsi="宋体"/>
          <w:b/>
          <w:sz w:val="36"/>
          <w:szCs w:val="36"/>
          <w:highlight w:val="none"/>
          <w:lang w:eastAsia="zh-CN"/>
        </w:rPr>
      </w:pPr>
      <w:r>
        <w:rPr>
          <w:rFonts w:hint="eastAsia" w:hAnsi="宋体"/>
          <w:b/>
          <w:bCs w:val="0"/>
          <w:sz w:val="36"/>
          <w:szCs w:val="36"/>
          <w:highlight w:val="none"/>
          <w:lang w:val="en-US" w:eastAsia="zh-CN"/>
        </w:rPr>
        <w:t>2025年度龙下风电场构筑物防雷装置安全检测项目</w:t>
      </w:r>
    </w:p>
    <w:p>
      <w:pPr>
        <w:pStyle w:val="15"/>
        <w:jc w:val="center"/>
        <w:rPr>
          <w:rFonts w:hAnsi="宋体"/>
          <w:sz w:val="28"/>
          <w:szCs w:val="28"/>
          <w:highlight w:val="none"/>
        </w:rPr>
      </w:pPr>
      <w:r>
        <w:rPr>
          <w:rFonts w:hint="eastAsia" w:hAnsi="宋体"/>
          <w:b/>
          <w:sz w:val="36"/>
          <w:szCs w:val="36"/>
          <w:highlight w:val="none"/>
        </w:rPr>
        <w:t>询（比）价文件</w:t>
      </w:r>
    </w:p>
    <w:p>
      <w:pPr>
        <w:pStyle w:val="15"/>
        <w:ind w:firstLine="480"/>
        <w:jc w:val="left"/>
        <w:rPr>
          <w:rFonts w:hint="eastAsia" w:hAnsi="宋体"/>
          <w:sz w:val="24"/>
          <w:szCs w:val="24"/>
          <w:highlight w:val="none"/>
          <w:lang w:val="en-US" w:eastAsia="zh-CN"/>
        </w:rPr>
      </w:pPr>
    </w:p>
    <w:p>
      <w:pPr>
        <w:pStyle w:val="15"/>
        <w:ind w:firstLine="480"/>
        <w:jc w:val="left"/>
        <w:rPr>
          <w:rFonts w:hint="eastAsia" w:hAnsi="宋体"/>
          <w:sz w:val="24"/>
          <w:szCs w:val="24"/>
          <w:highlight w:val="none"/>
        </w:rPr>
      </w:pPr>
      <w:bookmarkStart w:id="4" w:name="OLE_LINK2"/>
      <w:r>
        <w:rPr>
          <w:rFonts w:hint="eastAsia" w:hAnsi="宋体" w:cs="Times New Roman"/>
          <w:color w:val="auto"/>
          <w:sz w:val="24"/>
          <w:szCs w:val="24"/>
          <w:highlight w:val="none"/>
          <w:lang w:val="en-US" w:eastAsia="zh-CN"/>
        </w:rPr>
        <w:t>根据相关规范对福建省福能海峡发电有限公司生产指挥大楼、龙下风电场陆上集控站、海上升压站等构筑物的设备及建筑进行防雷检测等工作，并出具符合行业要求的相关报告。</w:t>
      </w:r>
      <w:bookmarkEnd w:id="4"/>
    </w:p>
    <w:p>
      <w:pPr>
        <w:pStyle w:val="15"/>
        <w:ind w:firstLine="480"/>
        <w:jc w:val="left"/>
        <w:rPr>
          <w:rFonts w:hAnsi="宋体"/>
          <w:sz w:val="24"/>
          <w:szCs w:val="24"/>
          <w:highlight w:val="none"/>
        </w:rPr>
      </w:pPr>
      <w:r>
        <w:rPr>
          <w:rFonts w:hint="eastAsia" w:hAnsi="宋体"/>
          <w:sz w:val="24"/>
          <w:szCs w:val="24"/>
          <w:highlight w:val="none"/>
        </w:rPr>
        <w:t>现诚意邀请贵单位参加投标，投标有效期90天。招标人将根据各单位报价、实力等方面进行综合评价，一旦评标工作结束，我司将及时通知中标单位，同时口头通知其</w:t>
      </w:r>
      <w:r>
        <w:rPr>
          <w:rFonts w:hint="eastAsia" w:hAnsi="宋体"/>
          <w:sz w:val="24"/>
          <w:szCs w:val="24"/>
          <w:highlight w:val="none"/>
          <w:lang w:eastAsia="zh-CN"/>
        </w:rPr>
        <w:t>他</w:t>
      </w:r>
      <w:r>
        <w:rPr>
          <w:rFonts w:hint="eastAsia" w:hAnsi="宋体"/>
          <w:sz w:val="24"/>
          <w:szCs w:val="24"/>
          <w:highlight w:val="none"/>
        </w:rPr>
        <w:t>非中标单位。本邀请函解释权属福建省福能海峡发电有限公司，如未中标恕不解释。</w:t>
      </w:r>
    </w:p>
    <w:p>
      <w:pPr>
        <w:numPr>
          <w:ilvl w:val="0"/>
          <w:numId w:val="3"/>
        </w:numPr>
        <w:spacing w:line="240" w:lineRule="auto"/>
        <w:rPr>
          <w:rFonts w:ascii="宋体" w:hAnsi="宋体" w:cs="宋体"/>
          <w:b/>
          <w:bCs/>
          <w:sz w:val="28"/>
          <w:szCs w:val="28"/>
          <w:highlight w:val="none"/>
        </w:rPr>
      </w:pPr>
      <w:r>
        <w:rPr>
          <w:rFonts w:hint="eastAsia" w:ascii="宋体" w:hAnsi="宋体" w:cs="宋体"/>
          <w:b/>
          <w:bCs/>
          <w:sz w:val="28"/>
          <w:szCs w:val="28"/>
          <w:highlight w:val="none"/>
        </w:rPr>
        <w:t>项目概况</w:t>
      </w:r>
    </w:p>
    <w:p>
      <w:pPr>
        <w:adjustRightInd w:val="0"/>
        <w:snapToGrid w:val="0"/>
        <w:spacing w:line="360" w:lineRule="auto"/>
        <w:ind w:firstLine="480"/>
        <w:rPr>
          <w:rFonts w:hint="eastAsia" w:hAnsi="宋体"/>
          <w:bCs w:val="0"/>
          <w:sz w:val="24"/>
          <w:szCs w:val="24"/>
          <w:highlight w:val="none"/>
          <w:lang w:val="en-US" w:eastAsia="zh-CN"/>
        </w:rPr>
      </w:pPr>
      <w:r>
        <w:rPr>
          <w:rFonts w:hint="eastAsia" w:hAnsi="宋体"/>
          <w:sz w:val="24"/>
          <w:szCs w:val="24"/>
          <w:highlight w:val="none"/>
        </w:rPr>
        <w:t>长乐外海海上风电场C区项目位于福建省福州市长乐区东部海域、闽江口南岸，</w:t>
      </w:r>
      <w:r>
        <w:rPr>
          <w:rFonts w:hint="eastAsia" w:ascii="Times New Roman" w:hAnsi="宋体" w:cs="Times New Roman"/>
          <w:sz w:val="24"/>
          <w:szCs w:val="24"/>
          <w:highlight w:val="none"/>
          <w:lang w:val="en-US" w:eastAsia="zh-CN"/>
        </w:rPr>
        <w:t>总装机</w:t>
      </w:r>
      <w:r>
        <w:rPr>
          <w:rFonts w:hint="eastAsia" w:hAnsi="宋体"/>
          <w:sz w:val="24"/>
          <w:szCs w:val="24"/>
          <w:highlight w:val="none"/>
          <w:lang w:val="en-US" w:eastAsia="zh-CN"/>
        </w:rPr>
        <w:t>容量496MW。</w:t>
      </w:r>
      <w:r>
        <w:rPr>
          <w:rFonts w:hint="eastAsia" w:hAnsi="宋体"/>
          <w:sz w:val="24"/>
          <w:szCs w:val="24"/>
          <w:highlight w:val="none"/>
        </w:rPr>
        <w:t>本项目采用220kV海上升压变电站+陆上集控中心方案，配套1座海上升压变电站和1座陆上集控中心</w:t>
      </w:r>
      <w:r>
        <w:rPr>
          <w:rFonts w:hint="eastAsia" w:hAnsi="宋体"/>
          <w:sz w:val="24"/>
          <w:szCs w:val="24"/>
          <w:highlight w:val="none"/>
          <w:lang w:eastAsia="zh-CN"/>
        </w:rPr>
        <w:t>，</w:t>
      </w:r>
      <w:r>
        <w:rPr>
          <w:rFonts w:hint="eastAsia" w:hAnsi="宋体"/>
          <w:bCs w:val="0"/>
          <w:sz w:val="24"/>
          <w:szCs w:val="24"/>
          <w:highlight w:val="none"/>
        </w:rPr>
        <w:t>海上升压变电站布置在</w:t>
      </w:r>
      <w:r>
        <w:rPr>
          <w:rFonts w:hint="eastAsia" w:hAnsi="宋体"/>
          <w:sz w:val="24"/>
          <w:szCs w:val="24"/>
          <w:highlight w:val="none"/>
        </w:rPr>
        <w:t>C区风电场中间海域</w:t>
      </w:r>
      <w:r>
        <w:rPr>
          <w:rFonts w:hint="eastAsia" w:hAnsi="宋体"/>
          <w:sz w:val="24"/>
          <w:szCs w:val="24"/>
          <w:highlight w:val="none"/>
          <w:lang w:eastAsia="zh-CN"/>
        </w:rPr>
        <w:t>，</w:t>
      </w:r>
      <w:r>
        <w:rPr>
          <w:rFonts w:hint="eastAsia" w:hAnsi="宋体"/>
          <w:bCs w:val="0"/>
          <w:sz w:val="24"/>
          <w:szCs w:val="24"/>
          <w:highlight w:val="none"/>
        </w:rPr>
        <w:t>陆上集控中心布置在长乐市松下镇首祉村西南侧的山地上</w:t>
      </w:r>
      <w:r>
        <w:rPr>
          <w:rFonts w:hint="eastAsia" w:hAnsi="宋体"/>
          <w:bCs w:val="0"/>
          <w:sz w:val="24"/>
          <w:szCs w:val="24"/>
          <w:highlight w:val="none"/>
          <w:lang w:val="en-US" w:eastAsia="zh-CN"/>
        </w:rPr>
        <w:t>。公司办公楼位于福建省福州市长乐区文武砂街道二站村北路76号中国东南大数据产业园研发楼三期8号楼。</w:t>
      </w:r>
    </w:p>
    <w:p>
      <w:pPr>
        <w:adjustRightInd w:val="0"/>
        <w:snapToGrid w:val="0"/>
        <w:spacing w:line="360" w:lineRule="auto"/>
        <w:ind w:firstLine="480"/>
        <w:rPr>
          <w:rFonts w:hint="eastAsia" w:hAnsi="宋体"/>
          <w:sz w:val="24"/>
          <w:szCs w:val="24"/>
          <w:highlight w:val="none"/>
          <w:lang w:val="en-US" w:eastAsia="zh-CN"/>
        </w:rPr>
      </w:pPr>
      <w:r>
        <w:rPr>
          <w:rFonts w:hint="eastAsia" w:hAnsi="宋体"/>
          <w:sz w:val="24"/>
          <w:szCs w:val="24"/>
          <w:highlight w:val="none"/>
          <w:lang w:val="en-US" w:eastAsia="zh-CN"/>
        </w:rPr>
        <w:t>本项目招标范围为根据福建省福能海峡发电有限公司生产指挥大楼、龙下风电场陆上集控站、海上升压站构筑物及设备的重要性、使用性质、发生雷电事故的可能性和后果分析判断场区的防雷类别，按照防雷类别所对应的防雷规范要求，开展建构筑物防雷装置安全性能检测和设备专项防雷工程安全性能检测。</w:t>
      </w:r>
    </w:p>
    <w:p>
      <w:pPr>
        <w:spacing w:line="240" w:lineRule="auto"/>
        <w:ind w:firstLine="0" w:firstLineChars="0"/>
        <w:jc w:val="left"/>
        <w:rPr>
          <w:rFonts w:hAnsi="Arial"/>
          <w:sz w:val="24"/>
          <w:highlight w:val="none"/>
        </w:rPr>
      </w:pPr>
      <w:r>
        <w:rPr>
          <w:rFonts w:hint="eastAsia" w:ascii="宋体" w:hAnsi="宋体" w:cs="宋体"/>
          <w:b/>
          <w:bCs/>
          <w:sz w:val="28"/>
          <w:szCs w:val="28"/>
          <w:highlight w:val="none"/>
        </w:rPr>
        <w:t>二、询（比）价内容</w:t>
      </w:r>
    </w:p>
    <w:p>
      <w:pPr>
        <w:spacing w:line="240" w:lineRule="auto"/>
        <w:ind w:firstLine="480" w:firstLineChars="200"/>
        <w:rPr>
          <w:sz w:val="24"/>
          <w:highlight w:val="none"/>
        </w:rPr>
      </w:pPr>
      <w:r>
        <w:rPr>
          <w:rFonts w:hint="eastAsia" w:ascii="宋体" w:hAnsi="宋体"/>
          <w:bCs/>
          <w:color w:val="auto"/>
          <w:sz w:val="24"/>
          <w:lang w:val="en-US" w:eastAsia="zh-CN"/>
        </w:rPr>
        <w:t>2025年度龙下风电场构筑物防雷装置安全检测项目</w:t>
      </w:r>
      <w:r>
        <w:rPr>
          <w:rFonts w:hint="eastAsia" w:hAnsi="Arial"/>
          <w:sz w:val="24"/>
          <w:highlight w:val="none"/>
        </w:rPr>
        <w:t>。</w:t>
      </w:r>
    </w:p>
    <w:p>
      <w:pPr>
        <w:spacing w:line="240" w:lineRule="auto"/>
        <w:rPr>
          <w:rFonts w:ascii="宋体" w:hAnsi="宋体" w:cs="宋体"/>
          <w:b/>
          <w:sz w:val="28"/>
          <w:szCs w:val="28"/>
          <w:highlight w:val="none"/>
        </w:rPr>
      </w:pPr>
      <w:r>
        <w:rPr>
          <w:rFonts w:hint="eastAsia" w:ascii="宋体" w:hAnsi="宋体" w:cs="宋体"/>
          <w:b/>
          <w:sz w:val="28"/>
          <w:szCs w:val="28"/>
          <w:highlight w:val="none"/>
        </w:rPr>
        <w:t>三、报价人资格要求：</w:t>
      </w:r>
    </w:p>
    <w:p>
      <w:pPr>
        <w:spacing w:line="460" w:lineRule="exact"/>
        <w:ind w:firstLine="480" w:firstLineChars="200"/>
        <w:rPr>
          <w:rFonts w:hint="eastAsia" w:ascii="宋体" w:hAnsi="宋体"/>
          <w:sz w:val="24"/>
          <w:szCs w:val="24"/>
          <w:highlight w:val="none"/>
          <w:lang w:val="en-US" w:eastAsia="zh-CN"/>
        </w:rPr>
      </w:pPr>
      <w:bookmarkStart w:id="5" w:name="OLE_LINK20"/>
      <w:r>
        <w:rPr>
          <w:rFonts w:hint="eastAsia" w:ascii="宋体" w:hAnsi="宋体"/>
          <w:sz w:val="24"/>
          <w:szCs w:val="24"/>
          <w:highlight w:val="none"/>
          <w:lang w:val="en-US" w:eastAsia="zh-CN"/>
        </w:rPr>
        <w:t>3.1 投标人在中华人民共和国境内依照《中华人民共和国公司法》注册、具有独立法人资格；</w:t>
      </w:r>
    </w:p>
    <w:p>
      <w:pPr>
        <w:spacing w:line="460" w:lineRule="exact"/>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3.2 投标人具有省气象局颁发的雷电防护装置检测甲级资质证书；</w:t>
      </w:r>
    </w:p>
    <w:p>
      <w:pPr>
        <w:spacing w:line="460" w:lineRule="exact"/>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3.3投标人应具有良好的银行资信和商业信誉，没有处于被责令停业、财产被接管、冻结、破产状态。</w:t>
      </w:r>
    </w:p>
    <w:p>
      <w:pPr>
        <w:spacing w:line="460" w:lineRule="exact"/>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3.4投标人没有正在进行或将要发生的对投标人不利的重大诉讼或仲裁。</w:t>
      </w:r>
    </w:p>
    <w:p>
      <w:pPr>
        <w:spacing w:line="460" w:lineRule="exact"/>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3.5投标人应为不属于中国国家有关部门所界定的有腐败、欺诈行为的不合格的投标人。</w:t>
      </w:r>
    </w:p>
    <w:p>
      <w:pPr>
        <w:spacing w:line="460" w:lineRule="exact"/>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3.6投标人在近三年来实施的合同或其他经营行为中没有受主管部门处罚的不良记录。</w:t>
      </w:r>
    </w:p>
    <w:p>
      <w:pPr>
        <w:spacing w:line="460" w:lineRule="exact"/>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3.7只有在法律上和财务上独立，合法运作并独立于招标方的投标人才能参加投标。</w:t>
      </w:r>
    </w:p>
    <w:p>
      <w:pPr>
        <w:spacing w:line="460" w:lineRule="exact"/>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3.8本项目不接受联合体投标。</w:t>
      </w:r>
    </w:p>
    <w:p>
      <w:pPr>
        <w:spacing w:line="240" w:lineRule="auto"/>
        <w:ind w:firstLine="480" w:firstLineChars="200"/>
        <w:rPr>
          <w:rFonts w:hint="eastAsia" w:ascii="宋体" w:hAnsi="宋体" w:cs="宋体"/>
          <w:b/>
          <w:sz w:val="28"/>
          <w:szCs w:val="28"/>
          <w:highlight w:val="none"/>
        </w:rPr>
      </w:pPr>
      <w:r>
        <w:rPr>
          <w:rFonts w:hint="eastAsia" w:ascii="宋体" w:hAnsi="宋体"/>
          <w:sz w:val="24"/>
          <w:szCs w:val="24"/>
          <w:highlight w:val="none"/>
          <w:lang w:val="en-US" w:eastAsia="zh-CN"/>
        </w:rPr>
        <w:t>3.9本招标项目招标人对投标人的资格审查采用的方式：资格后审。</w:t>
      </w:r>
      <w:bookmarkEnd w:id="5"/>
    </w:p>
    <w:p>
      <w:pPr>
        <w:spacing w:line="240" w:lineRule="auto"/>
        <w:ind w:firstLine="0" w:firstLineChars="0"/>
        <w:rPr>
          <w:rFonts w:ascii="宋体" w:hAnsi="宋体" w:cs="宋体"/>
          <w:b/>
          <w:sz w:val="28"/>
          <w:szCs w:val="28"/>
          <w:highlight w:val="none"/>
        </w:rPr>
      </w:pPr>
      <w:r>
        <w:rPr>
          <w:rFonts w:hint="eastAsia" w:ascii="宋体" w:hAnsi="宋体" w:cs="宋体"/>
          <w:b/>
          <w:sz w:val="28"/>
          <w:szCs w:val="28"/>
          <w:highlight w:val="none"/>
        </w:rPr>
        <w:t>四、服务周期</w:t>
      </w:r>
    </w:p>
    <w:p>
      <w:pPr>
        <w:spacing w:line="240" w:lineRule="auto"/>
        <w:ind w:firstLine="480" w:firstLineChars="200"/>
        <w:rPr>
          <w:rFonts w:hint="eastAsia" w:ascii="宋体" w:hAnsi="宋体" w:cs="宋体"/>
          <w:b/>
          <w:sz w:val="28"/>
          <w:szCs w:val="28"/>
          <w:highlight w:val="none"/>
        </w:rPr>
      </w:pPr>
      <w:bookmarkStart w:id="6" w:name="OLE_LINK1"/>
      <w:bookmarkStart w:id="7" w:name="OLE_LINK18"/>
      <w:r>
        <w:rPr>
          <w:rFonts w:hint="eastAsia" w:ascii="宋体" w:hAnsi="宋体"/>
          <w:sz w:val="24"/>
          <w:szCs w:val="24"/>
          <w:highlight w:val="none"/>
        </w:rPr>
        <w:t>合同签订成立生效之日起60天内完成。</w:t>
      </w:r>
      <w:bookmarkEnd w:id="6"/>
    </w:p>
    <w:bookmarkEnd w:id="7"/>
    <w:p>
      <w:pPr>
        <w:spacing w:line="240" w:lineRule="auto"/>
        <w:rPr>
          <w:rFonts w:ascii="宋体" w:hAnsi="宋体" w:cs="宋体"/>
          <w:b/>
          <w:sz w:val="28"/>
          <w:szCs w:val="28"/>
          <w:highlight w:val="none"/>
        </w:rPr>
      </w:pPr>
      <w:r>
        <w:rPr>
          <w:rFonts w:hint="eastAsia" w:ascii="宋体" w:hAnsi="宋体" w:cs="宋体"/>
          <w:b/>
          <w:sz w:val="28"/>
          <w:szCs w:val="28"/>
          <w:highlight w:val="none"/>
        </w:rPr>
        <w:t>五、投标文件的提交</w:t>
      </w:r>
    </w:p>
    <w:p>
      <w:pPr>
        <w:spacing w:line="240" w:lineRule="auto"/>
        <w:ind w:firstLine="480" w:firstLineChars="200"/>
        <w:rPr>
          <w:rFonts w:ascii="宋体" w:hAnsi="宋体"/>
          <w:sz w:val="24"/>
          <w:szCs w:val="24"/>
          <w:highlight w:val="none"/>
        </w:rPr>
      </w:pPr>
      <w:r>
        <w:rPr>
          <w:rFonts w:hint="eastAsia" w:ascii="宋体" w:hAnsi="宋体"/>
          <w:sz w:val="24"/>
          <w:szCs w:val="24"/>
          <w:highlight w:val="none"/>
        </w:rPr>
        <w:t>请贵单位就以上工作内容在</w:t>
      </w:r>
      <w:r>
        <w:rPr>
          <w:rFonts w:hint="eastAsia" w:ascii="宋体" w:hAnsi="宋体"/>
          <w:sz w:val="24"/>
          <w:szCs w:val="24"/>
          <w:highlight w:val="none"/>
          <w:u w:val="single"/>
        </w:rPr>
        <w:t xml:space="preserve">  </w:t>
      </w:r>
      <w:r>
        <w:rPr>
          <w:rFonts w:hint="eastAsia" w:ascii="宋体" w:hAnsi="宋体"/>
          <w:sz w:val="24"/>
          <w:szCs w:val="24"/>
          <w:highlight w:val="none"/>
          <w:u w:val="single"/>
          <w:lang w:eastAsia="zh-CN"/>
        </w:rPr>
        <w:t>2025</w:t>
      </w: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lang w:val="en-US" w:eastAsia="zh-CN"/>
        </w:rPr>
        <w:t xml:space="preserve"> 5 </w:t>
      </w:r>
      <w:r>
        <w:rPr>
          <w:rFonts w:hint="eastAsia" w:ascii="宋体" w:hAnsi="宋体"/>
          <w:sz w:val="24"/>
          <w:szCs w:val="24"/>
          <w:highlight w:val="none"/>
        </w:rPr>
        <w:t>月</w:t>
      </w:r>
      <w:r>
        <w:rPr>
          <w:rFonts w:hint="eastAsia" w:ascii="宋体" w:hAnsi="宋体"/>
          <w:sz w:val="24"/>
          <w:szCs w:val="24"/>
          <w:highlight w:val="none"/>
          <w:u w:val="single"/>
          <w:lang w:val="en-US" w:eastAsia="zh-CN"/>
        </w:rPr>
        <w:t xml:space="preserve"> 30 </w:t>
      </w:r>
      <w:r>
        <w:rPr>
          <w:rFonts w:hint="eastAsia" w:ascii="宋体" w:hAnsi="宋体"/>
          <w:sz w:val="24"/>
          <w:szCs w:val="24"/>
          <w:highlight w:val="none"/>
        </w:rPr>
        <w:t>日</w:t>
      </w:r>
      <w:r>
        <w:rPr>
          <w:rFonts w:hint="eastAsia" w:ascii="宋体" w:hAnsi="宋体"/>
          <w:sz w:val="24"/>
          <w:szCs w:val="24"/>
          <w:highlight w:val="none"/>
          <w:u w:val="single"/>
          <w:lang w:val="en-US" w:eastAsia="zh-CN"/>
        </w:rPr>
        <w:t>9</w:t>
      </w:r>
      <w:r>
        <w:rPr>
          <w:rFonts w:hint="eastAsia" w:ascii="宋体" w:hAnsi="宋体"/>
          <w:sz w:val="24"/>
          <w:szCs w:val="24"/>
          <w:highlight w:val="none"/>
          <w:u w:val="single"/>
        </w:rPr>
        <w:t>：00</w:t>
      </w:r>
      <w:r>
        <w:rPr>
          <w:rFonts w:hint="eastAsia" w:ascii="宋体" w:hAnsi="宋体"/>
          <w:sz w:val="24"/>
          <w:szCs w:val="24"/>
          <w:highlight w:val="none"/>
        </w:rPr>
        <w:t>时前向我单位报价。</w:t>
      </w:r>
    </w:p>
    <w:p>
      <w:pPr>
        <w:spacing w:line="240" w:lineRule="auto"/>
        <w:ind w:firstLine="480" w:firstLineChars="200"/>
        <w:rPr>
          <w:rFonts w:ascii="宋体" w:hAnsi="宋体"/>
          <w:sz w:val="24"/>
          <w:szCs w:val="24"/>
          <w:highlight w:val="none"/>
        </w:rPr>
      </w:pPr>
      <w:r>
        <w:rPr>
          <w:rFonts w:hint="eastAsia" w:ascii="宋体" w:hAnsi="宋体"/>
          <w:sz w:val="24"/>
          <w:szCs w:val="24"/>
          <w:highlight w:val="none"/>
        </w:rPr>
        <w:t>1、报价人应把报价文件密封，封口要加盖报价单位公章</w:t>
      </w:r>
    </w:p>
    <w:p>
      <w:pPr>
        <w:spacing w:line="240" w:lineRule="auto"/>
        <w:ind w:firstLine="480" w:firstLineChars="200"/>
        <w:rPr>
          <w:rFonts w:ascii="宋体" w:hAnsi="宋体"/>
          <w:sz w:val="24"/>
          <w:szCs w:val="24"/>
          <w:highlight w:val="none"/>
        </w:rPr>
      </w:pPr>
      <w:r>
        <w:rPr>
          <w:rFonts w:hint="eastAsia" w:ascii="宋体" w:hAnsi="宋体"/>
          <w:sz w:val="24"/>
          <w:szCs w:val="24"/>
          <w:highlight w:val="none"/>
        </w:rPr>
        <w:t>2、外层包封上应注明:</w:t>
      </w:r>
    </w:p>
    <w:p>
      <w:pPr>
        <w:spacing w:line="240" w:lineRule="auto"/>
        <w:ind w:left="0" w:leftChars="0" w:firstLine="480" w:firstLineChars="200"/>
        <w:rPr>
          <w:rFonts w:ascii="宋体" w:hAnsi="宋体"/>
          <w:sz w:val="24"/>
          <w:szCs w:val="24"/>
          <w:highlight w:val="none"/>
        </w:rPr>
      </w:pPr>
      <w:r>
        <w:rPr>
          <w:rFonts w:hint="eastAsia" w:ascii="宋体" w:hAnsi="宋体"/>
          <w:sz w:val="24"/>
          <w:szCs w:val="24"/>
          <w:highlight w:val="none"/>
        </w:rPr>
        <w:t>（1）福建省福能海峡发电有限公司</w:t>
      </w:r>
    </w:p>
    <w:p>
      <w:pPr>
        <w:spacing w:line="240" w:lineRule="auto"/>
        <w:ind w:firstLine="480" w:firstLineChars="200"/>
        <w:rPr>
          <w:rFonts w:hint="eastAsia" w:ascii="宋体" w:hAnsi="宋体"/>
          <w:bCs/>
          <w:color w:val="auto"/>
          <w:sz w:val="24"/>
          <w:lang w:val="en-US" w:eastAsia="zh-CN"/>
        </w:rPr>
      </w:pPr>
      <w:r>
        <w:rPr>
          <w:rFonts w:hint="eastAsia" w:ascii="宋体" w:hAnsi="宋体"/>
          <w:sz w:val="24"/>
          <w:szCs w:val="24"/>
          <w:highlight w:val="none"/>
        </w:rPr>
        <w:t>（2）项目名称：</w:t>
      </w:r>
      <w:r>
        <w:rPr>
          <w:rFonts w:hint="eastAsia" w:ascii="宋体" w:hAnsi="宋体"/>
          <w:bCs/>
          <w:color w:val="auto"/>
          <w:sz w:val="24"/>
          <w:lang w:val="en-US" w:eastAsia="zh-CN"/>
        </w:rPr>
        <w:t>2025年度龙下风电场构筑物防雷装置安全检测项目</w:t>
      </w:r>
    </w:p>
    <w:p>
      <w:pPr>
        <w:spacing w:line="240" w:lineRule="auto"/>
        <w:ind w:firstLine="480" w:firstLineChars="200"/>
        <w:rPr>
          <w:rFonts w:ascii="宋体" w:hAnsi="宋体"/>
          <w:sz w:val="24"/>
          <w:szCs w:val="24"/>
          <w:highlight w:val="none"/>
        </w:rPr>
      </w:pPr>
      <w:r>
        <w:rPr>
          <w:rFonts w:hint="eastAsia" w:ascii="宋体" w:hAnsi="宋体"/>
          <w:sz w:val="24"/>
          <w:szCs w:val="24"/>
          <w:highlight w:val="none"/>
        </w:rPr>
        <w:t>（3）报价人的名称、地址和联系方式。</w:t>
      </w:r>
    </w:p>
    <w:p>
      <w:pPr>
        <w:spacing w:line="240" w:lineRule="auto"/>
        <w:ind w:firstLine="480" w:firstLineChars="200"/>
        <w:rPr>
          <w:rFonts w:ascii="宋体" w:hAnsi="宋体"/>
          <w:sz w:val="24"/>
          <w:szCs w:val="24"/>
          <w:highlight w:val="none"/>
        </w:rPr>
      </w:pPr>
      <w:r>
        <w:rPr>
          <w:rFonts w:hint="eastAsia" w:ascii="宋体" w:hAnsi="宋体"/>
          <w:sz w:val="24"/>
          <w:szCs w:val="24"/>
          <w:highlight w:val="none"/>
        </w:rPr>
        <w:t>3、提交纸质报价材料1份，应加盖单位公章，其中报价书必须逐页加盖单位公章，单位资质文件和业绩证明文件可骑缝加盖单位公章。</w:t>
      </w:r>
    </w:p>
    <w:p>
      <w:pPr>
        <w:spacing w:line="240" w:lineRule="auto"/>
        <w:ind w:firstLine="480" w:firstLineChars="200"/>
        <w:rPr>
          <w:rFonts w:ascii="宋体" w:hAnsi="宋体"/>
          <w:sz w:val="24"/>
          <w:szCs w:val="24"/>
          <w:highlight w:val="none"/>
        </w:rPr>
      </w:pPr>
      <w:r>
        <w:rPr>
          <w:rFonts w:hint="eastAsia" w:ascii="宋体" w:hAnsi="宋体"/>
          <w:sz w:val="24"/>
          <w:szCs w:val="24"/>
          <w:highlight w:val="none"/>
        </w:rPr>
        <w:t>邮寄地址：</w:t>
      </w:r>
      <w:r>
        <w:rPr>
          <w:rFonts w:hint="eastAsia" w:ascii="宋体" w:hAnsi="宋体" w:eastAsia="宋体" w:cs="宋体"/>
          <w:sz w:val="24"/>
          <w:szCs w:val="24"/>
        </w:rPr>
        <w:t>福建福州市长乐区文武砂</w:t>
      </w:r>
      <w:r>
        <w:rPr>
          <w:rFonts w:hint="eastAsia" w:ascii="宋体" w:hAnsi="宋体" w:cs="宋体"/>
          <w:sz w:val="24"/>
          <w:szCs w:val="24"/>
          <w:lang w:eastAsia="zh-CN"/>
        </w:rPr>
        <w:t>街道</w:t>
      </w:r>
      <w:r>
        <w:rPr>
          <w:rFonts w:hint="eastAsia" w:ascii="宋体" w:hAnsi="宋体" w:eastAsia="宋体" w:cs="宋体"/>
          <w:sz w:val="24"/>
          <w:szCs w:val="24"/>
        </w:rPr>
        <w:t>东南大数据产业园研发楼3期</w:t>
      </w:r>
      <w:r>
        <w:rPr>
          <w:rFonts w:hint="eastAsia" w:ascii="宋体" w:hAnsi="宋体" w:cs="宋体"/>
          <w:sz w:val="24"/>
          <w:szCs w:val="24"/>
          <w:lang w:val="en-US" w:eastAsia="zh-CN"/>
        </w:rPr>
        <w:t>8</w:t>
      </w:r>
      <w:r>
        <w:rPr>
          <w:rFonts w:hint="eastAsia" w:ascii="宋体" w:hAnsi="宋体" w:eastAsia="宋体" w:cs="宋体"/>
          <w:sz w:val="24"/>
          <w:szCs w:val="24"/>
        </w:rPr>
        <w:t>号楼</w:t>
      </w:r>
      <w:r>
        <w:rPr>
          <w:rFonts w:hint="eastAsia" w:ascii="宋体" w:hAnsi="宋体" w:cs="宋体"/>
          <w:sz w:val="24"/>
          <w:szCs w:val="24"/>
          <w:lang w:val="en-US" w:eastAsia="zh-CN"/>
        </w:rPr>
        <w:t>8</w:t>
      </w:r>
      <w:r>
        <w:rPr>
          <w:rFonts w:hint="eastAsia" w:ascii="宋体" w:hAnsi="宋体" w:eastAsia="宋体" w:cs="宋体"/>
          <w:sz w:val="24"/>
          <w:szCs w:val="24"/>
        </w:rPr>
        <w:t>层（近文武砂路双龙路路口）</w:t>
      </w:r>
    </w:p>
    <w:p>
      <w:pPr>
        <w:spacing w:line="240" w:lineRule="auto"/>
        <w:ind w:firstLine="480" w:firstLineChars="200"/>
        <w:rPr>
          <w:rFonts w:hint="default" w:ascii="宋体" w:hAnsi="宋体" w:eastAsia="宋体"/>
          <w:b/>
          <w:sz w:val="28"/>
          <w:szCs w:val="28"/>
          <w:highlight w:val="none"/>
          <w:lang w:val="en-US" w:eastAsia="zh-CN"/>
        </w:rPr>
      </w:pPr>
      <w:r>
        <w:rPr>
          <w:rFonts w:hint="eastAsia" w:ascii="宋体" w:hAnsi="宋体"/>
          <w:sz w:val="24"/>
          <w:szCs w:val="24"/>
          <w:highlight w:val="none"/>
        </w:rPr>
        <w:t>收 件 人：</w:t>
      </w:r>
      <w:r>
        <w:rPr>
          <w:rFonts w:hint="eastAsia" w:ascii="宋体" w:hAnsi="宋体"/>
          <w:sz w:val="24"/>
          <w:szCs w:val="24"/>
          <w:highlight w:val="none"/>
          <w:lang w:eastAsia="zh-CN"/>
        </w:rPr>
        <w:t>黄彩兰</w:t>
      </w:r>
      <w:r>
        <w:rPr>
          <w:rFonts w:hint="eastAsia" w:ascii="宋体" w:hAnsi="宋体"/>
          <w:sz w:val="24"/>
          <w:szCs w:val="24"/>
          <w:highlight w:val="none"/>
        </w:rPr>
        <w:t xml:space="preserve">       电话：</w:t>
      </w:r>
      <w:r>
        <w:rPr>
          <w:rFonts w:hint="eastAsia" w:ascii="宋体" w:hAnsi="宋体"/>
          <w:sz w:val="24"/>
          <w:szCs w:val="24"/>
          <w:highlight w:val="none"/>
          <w:lang w:val="en-US" w:eastAsia="zh-CN"/>
        </w:rPr>
        <w:t>15859520276</w:t>
      </w:r>
    </w:p>
    <w:p>
      <w:pPr>
        <w:snapToGrid/>
        <w:spacing w:line="240" w:lineRule="auto"/>
        <w:jc w:val="left"/>
        <w:rPr>
          <w:rFonts w:ascii="宋体" w:hAnsi="宋体"/>
          <w:b/>
          <w:sz w:val="32"/>
          <w:highlight w:val="none"/>
        </w:rPr>
      </w:pPr>
      <w:r>
        <w:rPr>
          <w:rFonts w:hint="eastAsia" w:ascii="宋体" w:hAnsi="宋体"/>
          <w:b/>
          <w:sz w:val="28"/>
          <w:szCs w:val="28"/>
          <w:highlight w:val="none"/>
        </w:rPr>
        <w:t>六、报价文件评标办法</w:t>
      </w:r>
    </w:p>
    <w:p>
      <w:pPr>
        <w:spacing w:line="240" w:lineRule="auto"/>
        <w:ind w:firstLine="480" w:firstLineChars="200"/>
        <w:rPr>
          <w:rFonts w:ascii="宋体" w:hAnsi="宋体" w:cs="宋体"/>
          <w:sz w:val="24"/>
          <w:szCs w:val="24"/>
          <w:highlight w:val="none"/>
        </w:rPr>
      </w:pPr>
      <w:r>
        <w:rPr>
          <w:rFonts w:hint="eastAsia" w:ascii="宋体" w:hAnsi="宋体" w:cs="宋体"/>
          <w:sz w:val="24"/>
          <w:szCs w:val="24"/>
          <w:highlight w:val="none"/>
        </w:rPr>
        <w:t>1、本项目设投标控制价</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7万元，</w:t>
      </w:r>
      <w:r>
        <w:rPr>
          <w:rFonts w:hint="eastAsia" w:ascii="宋体" w:hAnsi="宋体" w:cs="宋体"/>
          <w:sz w:val="24"/>
          <w:szCs w:val="24"/>
          <w:highlight w:val="none"/>
        </w:rPr>
        <w:t>超过投标控制价的报价为无效报价。</w:t>
      </w:r>
    </w:p>
    <w:p>
      <w:pPr>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2</w:t>
      </w:r>
      <w:r>
        <w:rPr>
          <w:rFonts w:hint="eastAsia" w:ascii="宋体" w:hAnsi="宋体" w:cs="宋体"/>
          <w:sz w:val="24"/>
          <w:szCs w:val="24"/>
          <w:highlight w:val="none"/>
        </w:rPr>
        <w:t>.评标方法</w:t>
      </w:r>
    </w:p>
    <w:p>
      <w:pPr>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评标办法采用综合评分法。</w:t>
      </w:r>
    </w:p>
    <w:p>
      <w:pPr>
        <w:adjustRightInd w:val="0"/>
        <w:snapToGrid w:val="0"/>
        <w:spacing w:line="500" w:lineRule="exact"/>
        <w:ind w:firstLine="480" w:firstLineChars="0"/>
        <w:jc w:val="left"/>
        <w:rPr>
          <w:rFonts w:hint="eastAsia" w:ascii="宋体" w:hAnsi="宋体" w:cs="宋体"/>
          <w:sz w:val="24"/>
          <w:szCs w:val="24"/>
          <w:highlight w:val="none"/>
        </w:rPr>
      </w:pPr>
      <w:r>
        <w:rPr>
          <w:rFonts w:hint="eastAsia" w:ascii="宋体" w:hAnsi="宋体" w:cs="宋体"/>
          <w:sz w:val="24"/>
          <w:szCs w:val="24"/>
          <w:highlight w:val="none"/>
        </w:rPr>
        <w:t>评标计分原则：综合得分（满分100分）＝评审价格得分（满分</w:t>
      </w:r>
      <w:r>
        <w:rPr>
          <w:rFonts w:hint="eastAsia" w:ascii="宋体" w:hAnsi="宋体" w:cs="宋体"/>
          <w:sz w:val="24"/>
          <w:szCs w:val="24"/>
          <w:highlight w:val="none"/>
          <w:lang w:val="en-US" w:eastAsia="zh-CN"/>
        </w:rPr>
        <w:t>60</w:t>
      </w:r>
      <w:r>
        <w:rPr>
          <w:rFonts w:hint="eastAsia" w:ascii="宋体" w:hAnsi="宋体" w:cs="宋体"/>
          <w:sz w:val="24"/>
          <w:szCs w:val="24"/>
          <w:highlight w:val="none"/>
        </w:rPr>
        <w:t>分）＋</w:t>
      </w:r>
      <w:r>
        <w:rPr>
          <w:rFonts w:hint="eastAsia" w:ascii="宋体" w:hAnsi="宋体" w:cs="宋体"/>
          <w:sz w:val="24"/>
          <w:szCs w:val="24"/>
          <w:highlight w:val="none"/>
          <w:lang w:eastAsia="zh-CN"/>
        </w:rPr>
        <w:t>技术部分评分</w:t>
      </w:r>
      <w:r>
        <w:rPr>
          <w:rFonts w:hint="eastAsia" w:ascii="宋体" w:hAnsi="宋体" w:cs="宋体"/>
          <w:sz w:val="24"/>
          <w:szCs w:val="24"/>
          <w:highlight w:val="none"/>
        </w:rPr>
        <w:t>（满分</w:t>
      </w:r>
      <w:r>
        <w:rPr>
          <w:rFonts w:hint="eastAsia" w:ascii="宋体" w:hAnsi="宋体" w:cs="宋体"/>
          <w:sz w:val="24"/>
          <w:szCs w:val="24"/>
          <w:highlight w:val="none"/>
          <w:lang w:val="en-US" w:eastAsia="zh-CN"/>
        </w:rPr>
        <w:t>30</w:t>
      </w:r>
      <w:r>
        <w:rPr>
          <w:rFonts w:hint="eastAsia" w:ascii="宋体" w:hAnsi="宋体" w:cs="宋体"/>
          <w:sz w:val="24"/>
          <w:szCs w:val="24"/>
          <w:highlight w:val="none"/>
        </w:rPr>
        <w:t>分）+</w:t>
      </w:r>
      <w:r>
        <w:rPr>
          <w:rFonts w:hint="eastAsia" w:ascii="宋体" w:hAnsi="宋体" w:cs="宋体"/>
          <w:sz w:val="24"/>
          <w:szCs w:val="24"/>
          <w:highlight w:val="none"/>
          <w:lang w:eastAsia="zh-CN"/>
        </w:rPr>
        <w:t>商务部分评分</w:t>
      </w:r>
      <w:r>
        <w:rPr>
          <w:rFonts w:hint="eastAsia" w:ascii="宋体" w:hAnsi="宋体" w:cs="宋体"/>
          <w:sz w:val="24"/>
          <w:szCs w:val="24"/>
          <w:highlight w:val="none"/>
        </w:rPr>
        <w:t>（满分</w:t>
      </w:r>
      <w:r>
        <w:rPr>
          <w:rFonts w:hint="eastAsia" w:ascii="宋体" w:hAnsi="宋体" w:cs="宋体"/>
          <w:sz w:val="24"/>
          <w:szCs w:val="24"/>
          <w:highlight w:val="none"/>
          <w:lang w:val="en-US" w:eastAsia="zh-CN"/>
        </w:rPr>
        <w:t>10</w:t>
      </w:r>
      <w:r>
        <w:rPr>
          <w:rFonts w:hint="eastAsia" w:ascii="宋体" w:hAnsi="宋体" w:cs="宋体"/>
          <w:sz w:val="24"/>
          <w:szCs w:val="24"/>
          <w:highlight w:val="none"/>
        </w:rPr>
        <w:t>分）。</w:t>
      </w:r>
    </w:p>
    <w:p>
      <w:pPr>
        <w:adjustRightInd w:val="0"/>
        <w:snapToGrid w:val="0"/>
        <w:spacing w:line="500" w:lineRule="exact"/>
        <w:ind w:firstLine="480" w:firstLineChars="0"/>
        <w:jc w:val="left"/>
        <w:rPr>
          <w:rFonts w:hint="eastAsia" w:ascii="宋体" w:hAnsi="宋体" w:cs="宋体"/>
          <w:sz w:val="24"/>
          <w:szCs w:val="24"/>
          <w:highlight w:val="none"/>
        </w:rPr>
      </w:pPr>
      <w:r>
        <w:rPr>
          <w:rFonts w:hint="eastAsia" w:ascii="宋体" w:hAnsi="宋体" w:cs="宋体"/>
          <w:sz w:val="24"/>
          <w:szCs w:val="24"/>
          <w:highlight w:val="none"/>
        </w:rPr>
        <w:t>注：保留小数点后两位。</w:t>
      </w:r>
    </w:p>
    <w:p>
      <w:pPr>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评分细则：</w:t>
      </w:r>
    </w:p>
    <w:p>
      <w:pPr>
        <w:numPr>
          <w:ilvl w:val="0"/>
          <w:numId w:val="0"/>
        </w:numPr>
        <w:tabs>
          <w:tab w:val="left" w:pos="510"/>
          <w:tab w:val="left" w:pos="1050"/>
        </w:tabs>
        <w:spacing w:line="360" w:lineRule="auto"/>
        <w:outlineLvl w:val="9"/>
        <w:rPr>
          <w:rFonts w:hint="eastAsia" w:ascii="宋体" w:eastAsia="宋体" w:cs="宋体"/>
          <w:sz w:val="24"/>
          <w:highlight w:val="none"/>
          <w:lang w:val="en-US" w:eastAsia="zh-CN"/>
        </w:rPr>
      </w:pPr>
      <w:r>
        <w:rPr>
          <w:rFonts w:hint="eastAsia" w:ascii="宋体" w:eastAsia="宋体" w:cs="宋体"/>
          <w:sz w:val="24"/>
          <w:highlight w:val="none"/>
          <w:lang w:val="en-US" w:eastAsia="zh-CN"/>
        </w:rPr>
        <w:t>2.1技术部分</w:t>
      </w:r>
      <w:r>
        <w:rPr>
          <w:rFonts w:hint="eastAsia" w:ascii="宋体" w:hAnsi="宋体" w:eastAsia="宋体" w:cs="宋体"/>
          <w:b/>
          <w:i/>
          <w:sz w:val="24"/>
          <w:highlight w:val="none"/>
          <w:u w:val="single"/>
          <w:lang w:val="en-US" w:eastAsia="zh-CN"/>
        </w:rPr>
        <w:t>，满分为30分。</w:t>
      </w:r>
    </w:p>
    <w:tbl>
      <w:tblPr>
        <w:tblStyle w:val="31"/>
        <w:tblW w:w="7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1052"/>
        <w:gridCol w:w="5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143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color w:val="auto"/>
                <w:highlight w:val="none"/>
              </w:rPr>
            </w:pPr>
            <w:bookmarkStart w:id="8" w:name="_Hlk141113341"/>
            <w:r>
              <w:rPr>
                <w:rFonts w:hint="eastAsia" w:hAnsi="宋体"/>
                <w:color w:val="auto"/>
                <w:highlight w:val="none"/>
              </w:rPr>
              <w:t>评议内容</w:t>
            </w:r>
          </w:p>
        </w:tc>
        <w:tc>
          <w:tcPr>
            <w:tcW w:w="105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color w:val="auto"/>
                <w:highlight w:val="none"/>
              </w:rPr>
            </w:pPr>
            <w:r>
              <w:rPr>
                <w:rFonts w:hint="eastAsia" w:hAnsi="宋体"/>
                <w:color w:val="auto"/>
                <w:highlight w:val="none"/>
              </w:rPr>
              <w:t>分值</w:t>
            </w:r>
          </w:p>
        </w:tc>
        <w:tc>
          <w:tcPr>
            <w:tcW w:w="5271"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color w:val="auto"/>
                <w:highlight w:val="none"/>
              </w:rPr>
            </w:pPr>
            <w:r>
              <w:rPr>
                <w:rFonts w:hint="eastAsia" w:hAnsi="宋体"/>
                <w:color w:val="auto"/>
                <w:highlight w:val="none"/>
              </w:rPr>
              <w:t>评议办法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3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color w:val="auto"/>
                <w:highlight w:val="none"/>
              </w:rPr>
            </w:pPr>
            <w:r>
              <w:rPr>
                <w:rFonts w:hint="eastAsia" w:hAnsi="宋体"/>
                <w:color w:val="auto"/>
                <w:highlight w:val="none"/>
              </w:rPr>
              <w:t>技术</w:t>
            </w:r>
            <w:r>
              <w:rPr>
                <w:rFonts w:hint="eastAsia" w:hAnsi="宋体"/>
                <w:color w:val="auto"/>
                <w:highlight w:val="none"/>
                <w:lang w:eastAsia="zh-CN"/>
              </w:rPr>
              <w:t>部分评分</w:t>
            </w:r>
          </w:p>
        </w:tc>
        <w:tc>
          <w:tcPr>
            <w:tcW w:w="105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color w:val="auto"/>
                <w:highlight w:val="none"/>
              </w:rPr>
            </w:pPr>
            <w:r>
              <w:rPr>
                <w:rFonts w:hint="eastAsia" w:hAnsi="宋体"/>
                <w:color w:val="auto"/>
                <w:highlight w:val="none"/>
                <w:lang w:val="en-US" w:eastAsia="zh-CN"/>
              </w:rPr>
              <w:t>30</w:t>
            </w:r>
            <w:r>
              <w:rPr>
                <w:rFonts w:hint="eastAsia" w:hAnsi="宋体"/>
                <w:color w:val="auto"/>
                <w:highlight w:val="none"/>
              </w:rPr>
              <w:t>分</w:t>
            </w:r>
          </w:p>
        </w:tc>
        <w:tc>
          <w:tcPr>
            <w:tcW w:w="5271" w:type="dxa"/>
            <w:tcBorders>
              <w:top w:val="single" w:color="auto" w:sz="4" w:space="0"/>
              <w:left w:val="single" w:color="auto" w:sz="4" w:space="0"/>
              <w:bottom w:val="single" w:color="auto" w:sz="4" w:space="0"/>
              <w:right w:val="single" w:color="auto" w:sz="4" w:space="0"/>
            </w:tcBorders>
            <w:vAlign w:val="top"/>
          </w:tcPr>
          <w:p>
            <w:pPr>
              <w:pStyle w:val="15"/>
              <w:numPr>
                <w:ilvl w:val="0"/>
                <w:numId w:val="0"/>
              </w:numPr>
              <w:snapToGrid w:val="0"/>
              <w:spacing w:line="360" w:lineRule="auto"/>
              <w:rPr>
                <w:rFonts w:hint="eastAsia" w:hAnsi="宋体"/>
                <w:b/>
                <w:bCs/>
                <w:color w:val="auto"/>
                <w:highlight w:val="none"/>
                <w:lang w:val="en-US" w:eastAsia="zh-CN"/>
              </w:rPr>
            </w:pPr>
            <w:r>
              <w:rPr>
                <w:rFonts w:hint="eastAsia" w:hAnsi="宋体"/>
                <w:b/>
                <w:bCs/>
                <w:color w:val="auto"/>
                <w:highlight w:val="none"/>
                <w:lang w:val="en-US" w:eastAsia="zh-CN"/>
              </w:rPr>
              <w:t>1.服务方案的合理性和完整性：满分20分。</w:t>
            </w:r>
          </w:p>
          <w:p>
            <w:pPr>
              <w:pStyle w:val="15"/>
              <w:widowControl w:val="0"/>
              <w:numPr>
                <w:ilvl w:val="0"/>
                <w:numId w:val="0"/>
              </w:numPr>
              <w:snapToGrid w:val="0"/>
              <w:spacing w:line="360" w:lineRule="auto"/>
              <w:jc w:val="both"/>
              <w:rPr>
                <w:rFonts w:hint="eastAsia" w:hAnsi="宋体"/>
                <w:color w:val="auto"/>
                <w:highlight w:val="none"/>
                <w:lang w:val="en-US" w:eastAsia="zh-CN"/>
              </w:rPr>
            </w:pPr>
            <w:r>
              <w:rPr>
                <w:rFonts w:hint="eastAsia" w:hAnsi="宋体"/>
                <w:color w:val="auto"/>
                <w:highlight w:val="none"/>
                <w:lang w:val="en-US" w:eastAsia="zh-CN"/>
              </w:rPr>
              <w:t>根据投标人提供的防雷检测服务方案的合理性和完整性进行横向比较评分，服务方案应包括</w:t>
            </w:r>
            <w:r>
              <w:rPr>
                <w:rFonts w:hint="eastAsia" w:ascii="宋体" w:hAnsi="宋体" w:eastAsia="宋体" w:cs="宋体"/>
                <w:sz w:val="21"/>
                <w:szCs w:val="21"/>
                <w:highlight w:val="none"/>
                <w:lang w:val="en-US" w:eastAsia="zh-CN"/>
              </w:rPr>
              <w:t>测试进度计划</w:t>
            </w:r>
            <w:r>
              <w:rPr>
                <w:rFonts w:hint="eastAsia" w:hAnsi="宋体" w:cs="宋体"/>
                <w:sz w:val="21"/>
                <w:szCs w:val="21"/>
                <w:highlight w:val="none"/>
                <w:lang w:val="en-US" w:eastAsia="zh-CN"/>
              </w:rPr>
              <w:t>（0～4分）、</w:t>
            </w:r>
            <w:r>
              <w:rPr>
                <w:rFonts w:hint="eastAsia" w:ascii="宋体" w:hAnsi="宋体" w:eastAsia="宋体" w:cs="宋体"/>
                <w:sz w:val="21"/>
                <w:szCs w:val="21"/>
                <w:highlight w:val="none"/>
                <w:lang w:val="en-US" w:eastAsia="zh-CN"/>
              </w:rPr>
              <w:t>测试方案</w:t>
            </w:r>
            <w:r>
              <w:rPr>
                <w:rFonts w:hint="eastAsia" w:hAnsi="宋体" w:cs="宋体"/>
                <w:sz w:val="21"/>
                <w:szCs w:val="21"/>
                <w:highlight w:val="none"/>
                <w:lang w:val="en-US" w:eastAsia="zh-CN"/>
              </w:rPr>
              <w:t>（0～4分）、</w:t>
            </w:r>
            <w:r>
              <w:rPr>
                <w:rFonts w:hint="eastAsia" w:ascii="宋体" w:hAnsi="宋体" w:eastAsia="宋体" w:cs="宋体"/>
                <w:sz w:val="21"/>
                <w:szCs w:val="21"/>
                <w:highlight w:val="none"/>
                <w:lang w:val="en-US" w:eastAsia="zh-CN"/>
              </w:rPr>
              <w:t>资源配备保障</w:t>
            </w:r>
            <w:r>
              <w:rPr>
                <w:rFonts w:hint="eastAsia" w:hAnsi="宋体" w:cs="宋体"/>
                <w:sz w:val="21"/>
                <w:szCs w:val="21"/>
                <w:highlight w:val="none"/>
                <w:lang w:val="en-US" w:eastAsia="zh-CN"/>
              </w:rPr>
              <w:t>（0～4分）、</w:t>
            </w:r>
            <w:r>
              <w:rPr>
                <w:rFonts w:hint="eastAsia" w:ascii="宋体" w:hAnsi="宋体" w:eastAsia="宋体" w:cs="宋体"/>
                <w:sz w:val="21"/>
                <w:szCs w:val="21"/>
                <w:highlight w:val="none"/>
                <w:lang w:val="en-US" w:eastAsia="zh-CN"/>
              </w:rPr>
              <w:t>质量管理体系</w:t>
            </w:r>
            <w:r>
              <w:rPr>
                <w:rFonts w:hint="eastAsia" w:hAnsi="宋体" w:cs="宋体"/>
                <w:sz w:val="21"/>
                <w:szCs w:val="21"/>
                <w:highlight w:val="none"/>
                <w:lang w:val="en-US" w:eastAsia="zh-CN"/>
              </w:rPr>
              <w:t>（0～4分）、</w:t>
            </w:r>
            <w:r>
              <w:rPr>
                <w:rFonts w:hint="eastAsia" w:ascii="宋体" w:hAnsi="宋体" w:eastAsia="宋体" w:cs="宋体"/>
                <w:bCs/>
                <w:sz w:val="21"/>
                <w:szCs w:val="21"/>
                <w:highlight w:val="none"/>
                <w:lang w:val="en-US" w:eastAsia="zh-CN"/>
              </w:rPr>
              <w:t>安全文明施工</w:t>
            </w:r>
            <w:r>
              <w:rPr>
                <w:rFonts w:hint="eastAsia" w:hAnsi="宋体" w:cs="宋体"/>
                <w:sz w:val="21"/>
                <w:szCs w:val="21"/>
                <w:highlight w:val="none"/>
                <w:lang w:val="en-US" w:eastAsia="zh-CN"/>
              </w:rPr>
              <w:t>（0～4分）</w:t>
            </w:r>
            <w:r>
              <w:rPr>
                <w:rFonts w:hint="eastAsia" w:hAnsi="宋体" w:cs="宋体"/>
                <w:bCs/>
                <w:sz w:val="21"/>
                <w:szCs w:val="21"/>
                <w:highlight w:val="none"/>
                <w:lang w:val="en-US" w:eastAsia="zh-CN"/>
              </w:rPr>
              <w:t>，满分20分</w:t>
            </w:r>
            <w:r>
              <w:rPr>
                <w:rFonts w:hint="eastAsia" w:hAnsi="宋体"/>
                <w:color w:val="auto"/>
                <w:highlight w:val="none"/>
                <w:lang w:val="en-US" w:eastAsia="zh-CN"/>
              </w:rPr>
              <w:t>。未提供不得分。</w:t>
            </w:r>
          </w:p>
          <w:p>
            <w:pPr>
              <w:pStyle w:val="15"/>
              <w:numPr>
                <w:ilvl w:val="0"/>
                <w:numId w:val="0"/>
              </w:numPr>
              <w:snapToGrid w:val="0"/>
              <w:spacing w:line="360" w:lineRule="auto"/>
              <w:ind w:leftChars="0"/>
              <w:rPr>
                <w:rFonts w:hint="eastAsia" w:hAnsi="宋体"/>
                <w:color w:val="auto"/>
                <w:highlight w:val="none"/>
                <w:lang w:val="en-US" w:eastAsia="zh-CN"/>
              </w:rPr>
            </w:pPr>
            <w:r>
              <w:rPr>
                <w:rFonts w:hint="eastAsia" w:hAnsi="宋体"/>
                <w:b/>
                <w:bCs/>
                <w:color w:val="auto"/>
                <w:highlight w:val="none"/>
                <w:lang w:val="en-US" w:eastAsia="zh-CN"/>
              </w:rPr>
              <w:t>2.</w:t>
            </w:r>
            <w:r>
              <w:rPr>
                <w:rFonts w:hint="eastAsia" w:hAnsi="宋体" w:cs="Times New Roman"/>
                <w:b/>
                <w:bCs/>
                <w:color w:val="auto"/>
                <w:highlight w:val="none"/>
                <w:lang w:val="en-US" w:eastAsia="zh-CN"/>
              </w:rPr>
              <w:t>技术力量</w:t>
            </w:r>
            <w:r>
              <w:rPr>
                <w:rFonts w:hint="eastAsia" w:hAnsi="宋体"/>
                <w:b/>
                <w:bCs/>
                <w:color w:val="auto"/>
                <w:highlight w:val="none"/>
              </w:rPr>
              <w:t>：</w:t>
            </w:r>
            <w:r>
              <w:rPr>
                <w:rFonts w:hint="eastAsia" w:hAnsi="宋体"/>
                <w:b/>
                <w:bCs/>
                <w:color w:val="auto"/>
                <w:highlight w:val="none"/>
                <w:lang w:val="en-US" w:eastAsia="zh-CN"/>
              </w:rPr>
              <w:t>10</w:t>
            </w:r>
            <w:r>
              <w:rPr>
                <w:rFonts w:hint="eastAsia" w:hAnsi="宋体"/>
                <w:b/>
                <w:bCs/>
                <w:color w:val="auto"/>
                <w:highlight w:val="none"/>
              </w:rPr>
              <w:t>分</w:t>
            </w:r>
            <w:r>
              <w:rPr>
                <w:rFonts w:hint="eastAsia" w:hAnsi="宋体"/>
                <w:b/>
                <w:bCs/>
                <w:color w:val="auto"/>
                <w:highlight w:val="none"/>
                <w:lang w:eastAsia="zh-CN"/>
              </w:rPr>
              <w:t>。</w:t>
            </w:r>
            <w:r>
              <w:rPr>
                <w:rFonts w:hint="eastAsia" w:hAnsi="宋体"/>
                <w:color w:val="auto"/>
                <w:highlight w:val="none"/>
              </w:rPr>
              <w:t>投标人拟派出参加本项目的技术人员具备合格有效的</w:t>
            </w:r>
            <w:r>
              <w:rPr>
                <w:rFonts w:hint="eastAsia" w:hAnsi="宋体"/>
                <w:color w:val="auto"/>
                <w:highlight w:val="none"/>
                <w:lang w:val="en-US" w:eastAsia="zh-CN"/>
              </w:rPr>
              <w:t>由气象部门颁发的</w:t>
            </w:r>
            <w:r>
              <w:rPr>
                <w:rFonts w:hint="eastAsia" w:ascii="宋体" w:hAnsi="宋体" w:eastAsia="宋体" w:cs="Times New Roman"/>
                <w:color w:val="auto"/>
                <w:highlight w:val="none"/>
                <w:lang w:val="en-US" w:eastAsia="zh-CN"/>
              </w:rPr>
              <w:t>防雷装置检测技术人员能力评价合格证</w:t>
            </w:r>
            <w:r>
              <w:rPr>
                <w:rFonts w:hint="eastAsia" w:hAnsi="宋体" w:cs="Times New Roman"/>
                <w:color w:val="auto"/>
                <w:highlight w:val="none"/>
                <w:lang w:val="en-US" w:eastAsia="zh-CN"/>
              </w:rPr>
              <w:t>，</w:t>
            </w:r>
            <w:r>
              <w:rPr>
                <w:rFonts w:hint="eastAsia" w:hAnsi="宋体"/>
                <w:color w:val="auto"/>
                <w:highlight w:val="none"/>
              </w:rPr>
              <w:t>人员</w:t>
            </w:r>
            <w:r>
              <w:rPr>
                <w:rFonts w:hint="eastAsia" w:hAnsi="宋体"/>
                <w:color w:val="auto"/>
                <w:highlight w:val="none"/>
                <w:lang w:val="en-US" w:eastAsia="zh-CN"/>
              </w:rPr>
              <w:t>1</w:t>
            </w:r>
            <w:r>
              <w:rPr>
                <w:rFonts w:hint="eastAsia" w:hAnsi="宋体"/>
                <w:color w:val="auto"/>
                <w:highlight w:val="none"/>
              </w:rPr>
              <w:t>人得分</w:t>
            </w:r>
            <w:r>
              <w:rPr>
                <w:rFonts w:hint="eastAsia" w:hAnsi="宋体"/>
                <w:color w:val="auto"/>
                <w:highlight w:val="none"/>
                <w:lang w:val="en-US" w:eastAsia="zh-CN"/>
              </w:rPr>
              <w:t>2</w:t>
            </w:r>
            <w:r>
              <w:rPr>
                <w:rFonts w:hint="eastAsia" w:hAnsi="宋体"/>
                <w:color w:val="auto"/>
                <w:highlight w:val="none"/>
              </w:rPr>
              <w:t>分，</w:t>
            </w:r>
            <w:r>
              <w:rPr>
                <w:rFonts w:hint="eastAsia" w:hAnsi="宋体"/>
                <w:color w:val="auto"/>
                <w:highlight w:val="none"/>
                <w:lang w:val="en-US" w:eastAsia="zh-CN"/>
              </w:rPr>
              <w:t>上限8</w:t>
            </w:r>
            <w:r>
              <w:rPr>
                <w:rFonts w:hint="eastAsia" w:hAnsi="宋体"/>
                <w:color w:val="auto"/>
                <w:highlight w:val="none"/>
              </w:rPr>
              <w:t>分</w:t>
            </w:r>
            <w:r>
              <w:rPr>
                <w:rFonts w:hint="eastAsia" w:hAnsi="宋体"/>
                <w:color w:val="auto"/>
                <w:highlight w:val="none"/>
                <w:lang w:eastAsia="zh-CN"/>
              </w:rPr>
              <w:t>；</w:t>
            </w:r>
            <w:r>
              <w:rPr>
                <w:rFonts w:hint="eastAsia" w:hAnsi="宋体"/>
                <w:color w:val="auto"/>
                <w:highlight w:val="none"/>
              </w:rPr>
              <w:t>具备</w:t>
            </w:r>
            <w:r>
              <w:rPr>
                <w:rFonts w:hint="eastAsia" w:hAnsi="宋体"/>
                <w:color w:val="auto"/>
                <w:highlight w:val="none"/>
                <w:lang w:val="en-US" w:eastAsia="zh-CN"/>
              </w:rPr>
              <w:t>海事局颁发的</w:t>
            </w:r>
            <w:r>
              <w:rPr>
                <w:rFonts w:hint="eastAsia" w:ascii="宋体" w:hAnsi="宋体" w:eastAsia="宋体" w:cs="Times New Roman"/>
                <w:color w:val="auto"/>
                <w:highlight w:val="none"/>
                <w:lang w:val="en-US" w:eastAsia="zh-CN"/>
              </w:rPr>
              <w:t>海船船员培训合格证</w:t>
            </w:r>
            <w:r>
              <w:rPr>
                <w:rFonts w:hint="eastAsia" w:hAnsi="宋体" w:cs="Times New Roman"/>
                <w:color w:val="auto"/>
                <w:highlight w:val="none"/>
                <w:lang w:val="en-US" w:eastAsia="zh-CN"/>
              </w:rPr>
              <w:t>，人员1人得分0.5分，上限2分；</w:t>
            </w:r>
            <w:r>
              <w:rPr>
                <w:rFonts w:hint="eastAsia" w:hAnsi="宋体"/>
                <w:color w:val="auto"/>
                <w:highlight w:val="none"/>
                <w:lang w:val="en-US" w:eastAsia="zh-CN"/>
              </w:rPr>
              <w:t>以上证书未提供不得分，满分10分</w:t>
            </w:r>
            <w:r>
              <w:rPr>
                <w:rFonts w:hint="eastAsia" w:hAnsi="宋体"/>
                <w:color w:val="auto"/>
                <w:highlight w:val="none"/>
              </w:rPr>
              <w:t>。（须提供对应人员的相关证书复印件及近六个月内由投标人为其缴纳的社保证明</w:t>
            </w:r>
            <w:r>
              <w:rPr>
                <w:rFonts w:hint="eastAsia" w:hAnsi="宋体"/>
                <w:color w:val="auto"/>
                <w:highlight w:val="none"/>
                <w:lang w:val="en-US" w:eastAsia="zh-CN"/>
              </w:rPr>
              <w:t>并加盖公章</w:t>
            </w:r>
            <w:r>
              <w:rPr>
                <w:rFonts w:hint="eastAsia" w:hAnsi="宋体"/>
                <w:color w:val="auto"/>
                <w:highlight w:val="none"/>
              </w:rPr>
              <w:t>）</w:t>
            </w:r>
          </w:p>
        </w:tc>
      </w:tr>
    </w:tbl>
    <w:p>
      <w:pPr>
        <w:adjustRightInd w:val="0"/>
        <w:snapToGrid w:val="0"/>
        <w:rPr>
          <w:rFonts w:ascii="宋体" w:hAnsi="宋体" w:eastAsia="宋体" w:cs="宋体"/>
          <w:sz w:val="24"/>
          <w:highlight w:val="none"/>
        </w:rPr>
      </w:pPr>
      <w:r>
        <w:rPr>
          <w:rFonts w:hint="eastAsia" w:ascii="宋体" w:hAnsi="宋体" w:eastAsia="宋体" w:cs="宋体"/>
          <w:sz w:val="24"/>
          <w:highlight w:val="none"/>
          <w:lang w:val="en-US" w:eastAsia="zh-CN"/>
        </w:rPr>
        <w:t>2.2</w:t>
      </w:r>
      <w:r>
        <w:rPr>
          <w:rFonts w:hint="eastAsia" w:ascii="宋体" w:hAnsi="宋体" w:eastAsia="宋体" w:cs="宋体"/>
          <w:sz w:val="24"/>
          <w:highlight w:val="none"/>
        </w:rPr>
        <w:t>商务</w:t>
      </w:r>
      <w:r>
        <w:rPr>
          <w:rFonts w:hint="eastAsia" w:ascii="宋体" w:hAnsi="宋体" w:eastAsia="宋体" w:cs="宋体"/>
          <w:sz w:val="24"/>
          <w:highlight w:val="none"/>
          <w:lang w:val="en-US" w:eastAsia="zh-CN"/>
        </w:rPr>
        <w:t>部分</w:t>
      </w:r>
      <w:r>
        <w:rPr>
          <w:rFonts w:hint="eastAsia" w:ascii="宋体" w:hAnsi="宋体" w:eastAsia="宋体" w:cs="宋体"/>
          <w:sz w:val="24"/>
          <w:highlight w:val="none"/>
        </w:rPr>
        <w:t>，</w:t>
      </w:r>
      <w:r>
        <w:rPr>
          <w:rFonts w:hint="eastAsia" w:ascii="宋体" w:hAnsi="宋体" w:eastAsia="宋体" w:cs="宋体"/>
          <w:b/>
          <w:i/>
          <w:sz w:val="24"/>
          <w:highlight w:val="none"/>
          <w:u w:val="single"/>
        </w:rPr>
        <w:t>满分为</w:t>
      </w:r>
      <w:r>
        <w:rPr>
          <w:rFonts w:hint="eastAsia" w:ascii="宋体" w:hAnsi="宋体" w:cs="宋体"/>
          <w:b/>
          <w:i/>
          <w:sz w:val="24"/>
          <w:highlight w:val="none"/>
          <w:u w:val="single"/>
          <w:lang w:val="en-US" w:eastAsia="zh-CN"/>
        </w:rPr>
        <w:t>10</w:t>
      </w:r>
      <w:r>
        <w:rPr>
          <w:rFonts w:hint="eastAsia" w:ascii="宋体" w:hAnsi="宋体" w:eastAsia="宋体" w:cs="宋体"/>
          <w:b/>
          <w:i/>
          <w:sz w:val="24"/>
          <w:highlight w:val="none"/>
          <w:u w:val="single"/>
        </w:rPr>
        <w:t>分</w:t>
      </w:r>
      <w:r>
        <w:rPr>
          <w:rFonts w:hint="eastAsia" w:ascii="宋体" w:hAnsi="宋体" w:eastAsia="宋体" w:cs="宋体"/>
          <w:sz w:val="24"/>
          <w:highlight w:val="none"/>
        </w:rPr>
        <w:t>。</w:t>
      </w:r>
    </w:p>
    <w:bookmarkEnd w:id="8"/>
    <w:tbl>
      <w:tblPr>
        <w:tblStyle w:val="31"/>
        <w:tblW w:w="7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1052"/>
        <w:gridCol w:w="5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143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color w:val="auto"/>
                <w:highlight w:val="none"/>
              </w:rPr>
            </w:pPr>
            <w:r>
              <w:rPr>
                <w:rFonts w:hint="eastAsia" w:hAnsi="宋体"/>
                <w:color w:val="auto"/>
                <w:highlight w:val="none"/>
              </w:rPr>
              <w:t>评议内容</w:t>
            </w:r>
          </w:p>
        </w:tc>
        <w:tc>
          <w:tcPr>
            <w:tcW w:w="105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color w:val="auto"/>
                <w:highlight w:val="none"/>
              </w:rPr>
            </w:pPr>
            <w:r>
              <w:rPr>
                <w:rFonts w:hint="eastAsia" w:hAnsi="宋体"/>
                <w:color w:val="auto"/>
                <w:highlight w:val="none"/>
              </w:rPr>
              <w:t>分值</w:t>
            </w:r>
          </w:p>
        </w:tc>
        <w:tc>
          <w:tcPr>
            <w:tcW w:w="5271"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color w:val="auto"/>
                <w:highlight w:val="none"/>
              </w:rPr>
            </w:pPr>
            <w:r>
              <w:rPr>
                <w:rFonts w:hint="eastAsia" w:hAnsi="宋体"/>
                <w:color w:val="auto"/>
                <w:highlight w:val="none"/>
              </w:rPr>
              <w:t>评议办法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5" w:hRule="atLeast"/>
        </w:trPr>
        <w:tc>
          <w:tcPr>
            <w:tcW w:w="1433" w:type="dxa"/>
            <w:tcBorders>
              <w:top w:val="single" w:color="auto" w:sz="4" w:space="0"/>
              <w:left w:val="single" w:color="auto" w:sz="4" w:space="0"/>
              <w:bottom w:val="single" w:color="auto" w:sz="4" w:space="0"/>
              <w:right w:val="single" w:color="auto" w:sz="4" w:space="0"/>
            </w:tcBorders>
            <w:vAlign w:val="center"/>
          </w:tcPr>
          <w:p>
            <w:pPr>
              <w:pStyle w:val="15"/>
              <w:snapToGrid w:val="0"/>
              <w:spacing w:line="360" w:lineRule="auto"/>
              <w:jc w:val="center"/>
              <w:rPr>
                <w:rFonts w:hint="eastAsia" w:hAnsi="宋体" w:eastAsia="宋体"/>
                <w:color w:val="auto"/>
                <w:highlight w:val="none"/>
                <w:lang w:eastAsia="zh-CN"/>
              </w:rPr>
            </w:pPr>
            <w:r>
              <w:rPr>
                <w:rFonts w:hint="eastAsia" w:hAnsi="宋体"/>
                <w:color w:val="auto"/>
                <w:highlight w:val="none"/>
                <w:lang w:eastAsia="zh-CN"/>
              </w:rPr>
              <w:t>商务部分评分</w:t>
            </w:r>
          </w:p>
          <w:p>
            <w:pPr>
              <w:pStyle w:val="15"/>
              <w:snapToGrid w:val="0"/>
              <w:spacing w:line="360" w:lineRule="auto"/>
              <w:jc w:val="center"/>
              <w:rPr>
                <w:rFonts w:hAnsi="宋体"/>
                <w:color w:val="auto"/>
                <w:highlight w:val="none"/>
              </w:rPr>
            </w:pPr>
            <w:r>
              <w:rPr>
                <w:rFonts w:hint="eastAsia" w:hAnsi="宋体"/>
                <w:color w:val="auto"/>
                <w:highlight w:val="none"/>
                <w:lang w:eastAsia="zh-CN"/>
              </w:rPr>
              <w:t>（</w:t>
            </w:r>
            <w:r>
              <w:rPr>
                <w:rFonts w:hint="eastAsia" w:hAnsi="宋体"/>
                <w:color w:val="auto"/>
                <w:highlight w:val="none"/>
              </w:rPr>
              <w:t>业绩、</w:t>
            </w:r>
            <w:r>
              <w:rPr>
                <w:rFonts w:hint="eastAsia" w:hAnsi="宋体"/>
                <w:color w:val="auto"/>
                <w:highlight w:val="none"/>
                <w:lang w:eastAsia="zh-CN"/>
              </w:rPr>
              <w:t>企业</w:t>
            </w:r>
            <w:r>
              <w:rPr>
                <w:rFonts w:hint="eastAsia" w:hAnsi="宋体"/>
                <w:color w:val="auto"/>
                <w:highlight w:val="none"/>
              </w:rPr>
              <w:t>资质</w:t>
            </w:r>
            <w:r>
              <w:rPr>
                <w:rFonts w:hint="eastAsia" w:hAnsi="宋体"/>
                <w:color w:val="auto"/>
                <w:highlight w:val="none"/>
                <w:lang w:eastAsia="zh-CN"/>
              </w:rPr>
              <w:t>）</w:t>
            </w:r>
          </w:p>
        </w:tc>
        <w:tc>
          <w:tcPr>
            <w:tcW w:w="105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color w:val="auto"/>
                <w:highlight w:val="none"/>
              </w:rPr>
            </w:pPr>
            <w:r>
              <w:rPr>
                <w:rFonts w:hint="eastAsia" w:hAnsi="宋体"/>
                <w:color w:val="auto"/>
                <w:highlight w:val="none"/>
                <w:lang w:val="en-US" w:eastAsia="zh-CN"/>
              </w:rPr>
              <w:t>10</w:t>
            </w:r>
            <w:r>
              <w:rPr>
                <w:rFonts w:hint="eastAsia" w:hAnsi="宋体"/>
                <w:color w:val="auto"/>
                <w:highlight w:val="none"/>
              </w:rPr>
              <w:t>分</w:t>
            </w:r>
          </w:p>
        </w:tc>
        <w:tc>
          <w:tcPr>
            <w:tcW w:w="5271" w:type="dxa"/>
            <w:tcBorders>
              <w:top w:val="single" w:color="auto" w:sz="4" w:space="0"/>
              <w:left w:val="single" w:color="auto" w:sz="4" w:space="0"/>
              <w:bottom w:val="single" w:color="auto" w:sz="4" w:space="0"/>
              <w:right w:val="single" w:color="auto" w:sz="4" w:space="0"/>
            </w:tcBorders>
            <w:vAlign w:val="center"/>
          </w:tcPr>
          <w:p>
            <w:pPr>
              <w:pStyle w:val="15"/>
              <w:numPr>
                <w:ilvl w:val="0"/>
                <w:numId w:val="0"/>
              </w:numPr>
              <w:snapToGrid w:val="0"/>
              <w:spacing w:line="360" w:lineRule="auto"/>
              <w:rPr>
                <w:rFonts w:hint="eastAsia" w:hAnsi="宋体"/>
                <w:color w:val="auto"/>
                <w:highlight w:val="none"/>
              </w:rPr>
            </w:pPr>
            <w:r>
              <w:rPr>
                <w:rFonts w:hint="eastAsia" w:hAnsi="宋体"/>
                <w:b/>
                <w:bCs/>
                <w:color w:val="auto"/>
                <w:highlight w:val="none"/>
                <w:lang w:val="en-US" w:eastAsia="zh-CN"/>
              </w:rPr>
              <w:t>1.</w:t>
            </w:r>
            <w:r>
              <w:rPr>
                <w:rFonts w:hint="eastAsia" w:hAnsi="宋体"/>
                <w:b/>
                <w:bCs/>
                <w:color w:val="auto"/>
                <w:highlight w:val="none"/>
              </w:rPr>
              <w:t>业绩：</w:t>
            </w:r>
            <w:r>
              <w:rPr>
                <w:rFonts w:hint="eastAsia" w:hAnsi="宋体"/>
                <w:b/>
                <w:bCs/>
                <w:color w:val="auto"/>
                <w:highlight w:val="none"/>
                <w:lang w:val="en-US" w:eastAsia="zh-CN"/>
              </w:rPr>
              <w:t>7</w:t>
            </w:r>
            <w:r>
              <w:rPr>
                <w:rFonts w:hint="eastAsia" w:hAnsi="宋体"/>
                <w:b/>
                <w:bCs/>
                <w:color w:val="auto"/>
                <w:highlight w:val="none"/>
              </w:rPr>
              <w:t>分。</w:t>
            </w:r>
            <w:r>
              <w:rPr>
                <w:rFonts w:hint="eastAsia" w:ascii="宋体" w:hAnsi="宋体" w:eastAsia="宋体" w:cs="Times New Roman"/>
                <w:color w:val="auto"/>
                <w:highlight w:val="none"/>
                <w:lang w:val="en-US" w:eastAsia="zh-CN"/>
              </w:rPr>
              <w:t>投标人</w:t>
            </w:r>
            <w:r>
              <w:rPr>
                <w:rFonts w:hint="eastAsia" w:hAnsi="宋体" w:cs="Times New Roman"/>
                <w:color w:val="auto"/>
                <w:highlight w:val="none"/>
                <w:lang w:val="en-US" w:eastAsia="zh-CN"/>
              </w:rPr>
              <w:t>提供</w:t>
            </w:r>
            <w:r>
              <w:rPr>
                <w:rFonts w:hint="eastAsia" w:hAnsi="宋体" w:cs="Times New Roman"/>
                <w:b w:val="0"/>
                <w:bCs w:val="0"/>
                <w:color w:val="auto"/>
                <w:highlight w:val="none"/>
                <w:lang w:val="en-US" w:eastAsia="zh-CN"/>
              </w:rPr>
              <w:t>自</w:t>
            </w:r>
            <w:r>
              <w:rPr>
                <w:rFonts w:hint="eastAsia" w:hAnsi="宋体"/>
                <w:color w:val="auto"/>
                <w:highlight w:val="none"/>
              </w:rPr>
              <w:t>202</w:t>
            </w:r>
            <w:r>
              <w:rPr>
                <w:rFonts w:hint="eastAsia" w:hAnsi="宋体"/>
                <w:color w:val="auto"/>
                <w:highlight w:val="none"/>
                <w:lang w:val="en-US" w:eastAsia="zh-CN"/>
              </w:rPr>
              <w:t>2</w:t>
            </w:r>
            <w:r>
              <w:rPr>
                <w:rFonts w:hint="eastAsia" w:hAnsi="宋体"/>
                <w:color w:val="auto"/>
                <w:highlight w:val="none"/>
              </w:rPr>
              <w:t>年1月至投标截止</w:t>
            </w:r>
            <w:r>
              <w:rPr>
                <w:rFonts w:hint="eastAsia" w:hAnsi="宋体"/>
                <w:color w:val="auto"/>
                <w:highlight w:val="none"/>
                <w:lang w:eastAsia="zh-CN"/>
              </w:rPr>
              <w:t>时间的</w:t>
            </w:r>
            <w:r>
              <w:rPr>
                <w:rFonts w:hint="eastAsia" w:hAnsi="宋体"/>
                <w:color w:val="auto"/>
                <w:highlight w:val="none"/>
                <w:lang w:val="en-US" w:eastAsia="zh-CN"/>
              </w:rPr>
              <w:t>防雷检测相关</w:t>
            </w:r>
            <w:r>
              <w:rPr>
                <w:rFonts w:hint="eastAsia" w:hAnsi="宋体"/>
                <w:color w:val="auto"/>
                <w:highlight w:val="none"/>
              </w:rPr>
              <w:t>业绩</w:t>
            </w:r>
            <w:r>
              <w:rPr>
                <w:rFonts w:hint="eastAsia" w:hAnsi="宋体"/>
                <w:color w:val="auto"/>
                <w:highlight w:val="none"/>
                <w:lang w:eastAsia="zh-CN"/>
              </w:rPr>
              <w:t>（</w:t>
            </w:r>
            <w:r>
              <w:rPr>
                <w:rFonts w:hint="eastAsia" w:hAnsi="宋体"/>
                <w:color w:val="auto"/>
                <w:highlight w:val="none"/>
                <w:lang w:val="en-US" w:eastAsia="zh-CN"/>
              </w:rPr>
              <w:t>以合同签订时间为准</w:t>
            </w:r>
            <w:r>
              <w:rPr>
                <w:rFonts w:hint="eastAsia" w:hAnsi="宋体"/>
                <w:color w:val="auto"/>
                <w:highlight w:val="none"/>
                <w:lang w:eastAsia="zh-CN"/>
              </w:rPr>
              <w:t>），</w:t>
            </w:r>
            <w:r>
              <w:rPr>
                <w:rFonts w:hint="eastAsia" w:hAnsi="宋体"/>
                <w:color w:val="auto"/>
                <w:highlight w:val="none"/>
                <w:lang w:val="en-US" w:eastAsia="zh-CN"/>
              </w:rPr>
              <w:t>每提供一项合同业绩</w:t>
            </w:r>
            <w:r>
              <w:rPr>
                <w:rFonts w:hint="eastAsia" w:hAnsi="宋体"/>
                <w:color w:val="auto"/>
                <w:highlight w:val="none"/>
              </w:rPr>
              <w:t>得</w:t>
            </w:r>
            <w:r>
              <w:rPr>
                <w:rFonts w:hint="eastAsia" w:hAnsi="宋体"/>
                <w:color w:val="auto"/>
                <w:highlight w:val="none"/>
                <w:lang w:val="en-US" w:eastAsia="zh-CN"/>
              </w:rPr>
              <w:t>1</w:t>
            </w:r>
            <w:r>
              <w:rPr>
                <w:rFonts w:hint="eastAsia" w:hAnsi="宋体"/>
                <w:color w:val="auto"/>
                <w:highlight w:val="none"/>
              </w:rPr>
              <w:t>分</w:t>
            </w:r>
            <w:r>
              <w:rPr>
                <w:rFonts w:hint="eastAsia" w:hAnsi="宋体"/>
                <w:color w:val="auto"/>
                <w:highlight w:val="none"/>
                <w:lang w:eastAsia="zh-CN"/>
              </w:rPr>
              <w:t>，最高得</w:t>
            </w:r>
            <w:r>
              <w:rPr>
                <w:rFonts w:hint="eastAsia" w:hAnsi="宋体"/>
                <w:color w:val="auto"/>
                <w:highlight w:val="none"/>
                <w:lang w:val="en-US" w:eastAsia="zh-CN"/>
              </w:rPr>
              <w:t>3分；</w:t>
            </w:r>
            <w:r>
              <w:rPr>
                <w:rFonts w:hint="eastAsia" w:ascii="宋体" w:hAnsi="宋体" w:eastAsia="宋体" w:cs="Times New Roman"/>
                <w:color w:val="auto"/>
                <w:highlight w:val="none"/>
                <w:lang w:val="en-US" w:eastAsia="zh-CN"/>
              </w:rPr>
              <w:t>投标人</w:t>
            </w:r>
            <w:r>
              <w:rPr>
                <w:rFonts w:hint="eastAsia" w:hAnsi="宋体" w:cs="Times New Roman"/>
                <w:color w:val="auto"/>
                <w:highlight w:val="none"/>
                <w:lang w:val="en-US" w:eastAsia="zh-CN"/>
              </w:rPr>
              <w:t>提供</w:t>
            </w:r>
            <w:r>
              <w:rPr>
                <w:rFonts w:hint="eastAsia" w:hAnsi="宋体" w:cs="Times New Roman"/>
                <w:b w:val="0"/>
                <w:bCs w:val="0"/>
                <w:color w:val="auto"/>
                <w:highlight w:val="none"/>
                <w:lang w:val="en-US" w:eastAsia="zh-CN"/>
              </w:rPr>
              <w:t>自</w:t>
            </w:r>
            <w:r>
              <w:rPr>
                <w:rFonts w:hint="eastAsia" w:hAnsi="宋体"/>
                <w:color w:val="auto"/>
                <w:highlight w:val="none"/>
              </w:rPr>
              <w:t>202</w:t>
            </w:r>
            <w:r>
              <w:rPr>
                <w:rFonts w:hint="eastAsia" w:hAnsi="宋体"/>
                <w:color w:val="auto"/>
                <w:highlight w:val="none"/>
                <w:lang w:val="en-US" w:eastAsia="zh-CN"/>
              </w:rPr>
              <w:t>2</w:t>
            </w:r>
            <w:r>
              <w:rPr>
                <w:rFonts w:hint="eastAsia" w:hAnsi="宋体"/>
                <w:color w:val="auto"/>
                <w:highlight w:val="none"/>
              </w:rPr>
              <w:t>年1月至投标截止</w:t>
            </w:r>
            <w:r>
              <w:rPr>
                <w:rFonts w:hint="eastAsia" w:hAnsi="宋体"/>
                <w:color w:val="auto"/>
                <w:highlight w:val="none"/>
                <w:lang w:eastAsia="zh-CN"/>
              </w:rPr>
              <w:t>时间的风电场</w:t>
            </w:r>
            <w:r>
              <w:rPr>
                <w:rFonts w:hint="eastAsia" w:hAnsi="宋体"/>
                <w:color w:val="auto"/>
                <w:highlight w:val="none"/>
                <w:lang w:val="en-US" w:eastAsia="zh-CN"/>
              </w:rPr>
              <w:t>防雷检测相关</w:t>
            </w:r>
            <w:r>
              <w:rPr>
                <w:rFonts w:hint="eastAsia" w:hAnsi="宋体"/>
                <w:color w:val="auto"/>
                <w:highlight w:val="none"/>
              </w:rPr>
              <w:t>业绩</w:t>
            </w:r>
            <w:r>
              <w:rPr>
                <w:rFonts w:hint="eastAsia" w:hAnsi="宋体"/>
                <w:color w:val="auto"/>
                <w:highlight w:val="none"/>
                <w:lang w:eastAsia="zh-CN"/>
              </w:rPr>
              <w:t>（</w:t>
            </w:r>
            <w:r>
              <w:rPr>
                <w:rFonts w:hint="eastAsia" w:hAnsi="宋体"/>
                <w:color w:val="auto"/>
                <w:highlight w:val="none"/>
                <w:lang w:val="en-US" w:eastAsia="zh-CN"/>
              </w:rPr>
              <w:t>以合同签订时间为准</w:t>
            </w:r>
            <w:r>
              <w:rPr>
                <w:rFonts w:hint="eastAsia" w:hAnsi="宋体"/>
                <w:color w:val="auto"/>
                <w:highlight w:val="none"/>
                <w:lang w:eastAsia="zh-CN"/>
              </w:rPr>
              <w:t>），</w:t>
            </w:r>
            <w:r>
              <w:rPr>
                <w:rFonts w:hint="eastAsia" w:hAnsi="宋体"/>
                <w:color w:val="auto"/>
                <w:highlight w:val="none"/>
                <w:lang w:val="en-US" w:eastAsia="zh-CN"/>
              </w:rPr>
              <w:t>每提供一项合同业绩</w:t>
            </w:r>
            <w:r>
              <w:rPr>
                <w:rFonts w:hint="eastAsia" w:hAnsi="宋体"/>
                <w:color w:val="auto"/>
                <w:highlight w:val="none"/>
              </w:rPr>
              <w:t>得</w:t>
            </w:r>
            <w:r>
              <w:rPr>
                <w:rFonts w:hint="eastAsia" w:hAnsi="宋体"/>
                <w:color w:val="auto"/>
                <w:highlight w:val="none"/>
                <w:lang w:val="en-US" w:eastAsia="zh-CN"/>
              </w:rPr>
              <w:t>2</w:t>
            </w:r>
            <w:r>
              <w:rPr>
                <w:rFonts w:hint="eastAsia" w:hAnsi="宋体"/>
                <w:color w:val="auto"/>
                <w:highlight w:val="none"/>
              </w:rPr>
              <w:t>分</w:t>
            </w:r>
            <w:r>
              <w:rPr>
                <w:rFonts w:hint="eastAsia" w:hAnsi="宋体"/>
                <w:color w:val="auto"/>
                <w:highlight w:val="none"/>
                <w:lang w:eastAsia="zh-CN"/>
              </w:rPr>
              <w:t>，最高得</w:t>
            </w:r>
            <w:r>
              <w:rPr>
                <w:rFonts w:hint="eastAsia" w:hAnsi="宋体"/>
                <w:color w:val="auto"/>
                <w:highlight w:val="none"/>
                <w:lang w:val="en-US" w:eastAsia="zh-CN"/>
              </w:rPr>
              <w:t>4分。</w:t>
            </w:r>
            <w:r>
              <w:rPr>
                <w:rFonts w:hint="eastAsia" w:hAnsi="宋体"/>
                <w:color w:val="auto"/>
                <w:highlight w:val="none"/>
                <w:lang w:eastAsia="zh-CN"/>
              </w:rPr>
              <w:t>业绩不重复计分</w:t>
            </w:r>
            <w:r>
              <w:rPr>
                <w:rFonts w:hint="eastAsia" w:hAnsi="宋体"/>
                <w:color w:val="auto"/>
                <w:highlight w:val="none"/>
                <w:lang w:val="en-US" w:eastAsia="zh-CN"/>
              </w:rPr>
              <w:t>。（</w:t>
            </w:r>
            <w:r>
              <w:rPr>
                <w:rFonts w:hint="eastAsia" w:hAnsi="宋体"/>
                <w:color w:val="auto"/>
                <w:highlight w:val="none"/>
              </w:rPr>
              <w:t>所有业绩必须提供合同扫描件</w:t>
            </w:r>
            <w:r>
              <w:rPr>
                <w:rFonts w:hint="eastAsia" w:hAnsi="宋体"/>
                <w:color w:val="auto"/>
                <w:highlight w:val="none"/>
                <w:lang w:val="en-US" w:eastAsia="zh-CN"/>
              </w:rPr>
              <w:t>并加盖公章</w:t>
            </w:r>
            <w:r>
              <w:rPr>
                <w:rFonts w:hint="eastAsia" w:hAnsi="宋体"/>
                <w:color w:val="auto"/>
                <w:highlight w:val="none"/>
              </w:rPr>
              <w:t>作为确认依据</w:t>
            </w:r>
            <w:r>
              <w:rPr>
                <w:rFonts w:hint="eastAsia" w:hAnsi="宋体"/>
                <w:color w:val="auto"/>
                <w:highlight w:val="none"/>
                <w:lang w:eastAsia="zh-CN"/>
              </w:rPr>
              <w:t>）</w:t>
            </w:r>
          </w:p>
          <w:p>
            <w:pPr>
              <w:pStyle w:val="15"/>
              <w:numPr>
                <w:ilvl w:val="0"/>
                <w:numId w:val="0"/>
              </w:numPr>
              <w:snapToGrid w:val="0"/>
              <w:spacing w:line="360" w:lineRule="auto"/>
              <w:rPr>
                <w:rFonts w:hint="eastAsia" w:hAnsi="宋体"/>
                <w:color w:val="auto"/>
                <w:highlight w:val="none"/>
                <w:lang w:eastAsia="zh-CN"/>
              </w:rPr>
            </w:pPr>
            <w:r>
              <w:rPr>
                <w:rFonts w:hint="eastAsia" w:hAnsi="宋体"/>
                <w:b/>
                <w:bCs/>
                <w:color w:val="auto"/>
                <w:highlight w:val="none"/>
                <w:lang w:val="en-US" w:eastAsia="zh-CN"/>
              </w:rPr>
              <w:t>2.企业</w:t>
            </w:r>
            <w:r>
              <w:rPr>
                <w:rFonts w:hint="eastAsia" w:hAnsi="宋体"/>
                <w:b/>
                <w:bCs/>
                <w:color w:val="auto"/>
                <w:highlight w:val="none"/>
              </w:rPr>
              <w:t>资质：</w:t>
            </w:r>
            <w:r>
              <w:rPr>
                <w:rFonts w:hint="eastAsia" w:hAnsi="宋体"/>
                <w:b/>
                <w:bCs/>
                <w:color w:val="auto"/>
                <w:highlight w:val="none"/>
                <w:lang w:val="en-US" w:eastAsia="zh-CN"/>
              </w:rPr>
              <w:t>3</w:t>
            </w:r>
            <w:r>
              <w:rPr>
                <w:rFonts w:hint="eastAsia" w:hAnsi="宋体"/>
                <w:b/>
                <w:bCs/>
                <w:color w:val="auto"/>
                <w:highlight w:val="none"/>
              </w:rPr>
              <w:t>分。</w:t>
            </w:r>
            <w:r>
              <w:rPr>
                <w:rFonts w:hint="eastAsia" w:ascii="宋体" w:hAnsi="宋体" w:eastAsia="宋体" w:cs="Times New Roman"/>
                <w:color w:val="auto"/>
                <w:highlight w:val="none"/>
                <w:lang w:val="en-US" w:eastAsia="zh-CN"/>
              </w:rPr>
              <w:t>投标人</w:t>
            </w:r>
            <w:r>
              <w:rPr>
                <w:rFonts w:hint="eastAsia" w:ascii="宋体" w:hAnsi="宋体" w:eastAsia="宋体" w:cs="Times New Roman"/>
                <w:color w:val="auto"/>
                <w:highlight w:val="none"/>
              </w:rPr>
              <w:t>具有国家认可的检验检测机构资质认定证书，得</w:t>
            </w:r>
            <w:r>
              <w:rPr>
                <w:rFonts w:hint="eastAsia" w:hAnsi="宋体" w:cs="Times New Roman"/>
                <w:color w:val="auto"/>
                <w:highlight w:val="none"/>
                <w:lang w:val="en-US" w:eastAsia="zh-CN"/>
              </w:rPr>
              <w:t>1</w:t>
            </w:r>
            <w:r>
              <w:rPr>
                <w:rFonts w:hint="eastAsia" w:ascii="宋体" w:hAnsi="宋体" w:eastAsia="宋体" w:cs="Times New Roman"/>
                <w:color w:val="auto"/>
                <w:highlight w:val="none"/>
              </w:rPr>
              <w:t>分</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rPr>
              <w:t>具有ISO9001质量管理体系认证证书</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lang w:val="en-US" w:eastAsia="zh-CN"/>
              </w:rPr>
              <w:t>认证范围：防雷装置检测相关</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rPr>
              <w:t>，得</w:t>
            </w:r>
            <w:r>
              <w:rPr>
                <w:rFonts w:hint="eastAsia" w:hAnsi="宋体" w:cs="Times New Roman"/>
                <w:color w:val="auto"/>
                <w:highlight w:val="none"/>
                <w:lang w:val="en-US" w:eastAsia="zh-CN"/>
              </w:rPr>
              <w:t>0.5</w:t>
            </w:r>
            <w:r>
              <w:rPr>
                <w:rFonts w:hint="eastAsia" w:ascii="宋体" w:hAnsi="宋体" w:eastAsia="宋体" w:cs="Times New Roman"/>
                <w:color w:val="auto"/>
                <w:highlight w:val="none"/>
              </w:rPr>
              <w:t>分</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rPr>
              <w:t>具有ISO14001环境管理体系认证证书</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lang w:val="en-US" w:eastAsia="zh-CN"/>
              </w:rPr>
              <w:t>认证范围：防雷装置检测相关</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rPr>
              <w:t>，得</w:t>
            </w:r>
            <w:r>
              <w:rPr>
                <w:rFonts w:hint="eastAsia" w:hAnsi="宋体" w:cs="Times New Roman"/>
                <w:color w:val="auto"/>
                <w:highlight w:val="none"/>
                <w:lang w:val="en-US" w:eastAsia="zh-CN"/>
              </w:rPr>
              <w:t>0.5</w:t>
            </w:r>
            <w:r>
              <w:rPr>
                <w:rFonts w:hint="eastAsia" w:ascii="宋体" w:hAnsi="宋体" w:eastAsia="宋体" w:cs="Times New Roman"/>
                <w:color w:val="auto"/>
                <w:highlight w:val="none"/>
              </w:rPr>
              <w:t>分</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rPr>
              <w:t>具有ISO45001职业健康安全管理体系认证证书</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lang w:val="en-US" w:eastAsia="zh-CN"/>
              </w:rPr>
              <w:t>认证范围：防雷装置检测相关</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rPr>
              <w:t>，得</w:t>
            </w:r>
            <w:r>
              <w:rPr>
                <w:rFonts w:hint="eastAsia" w:hAnsi="宋体" w:cs="Times New Roman"/>
                <w:color w:val="auto"/>
                <w:highlight w:val="none"/>
                <w:lang w:val="en-US" w:eastAsia="zh-CN"/>
              </w:rPr>
              <w:t>0.5</w:t>
            </w:r>
            <w:r>
              <w:rPr>
                <w:rFonts w:hint="eastAsia" w:ascii="宋体" w:hAnsi="宋体" w:eastAsia="宋体" w:cs="Times New Roman"/>
                <w:color w:val="auto"/>
                <w:highlight w:val="none"/>
              </w:rPr>
              <w:t>分</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rPr>
              <w:t>具有</w:t>
            </w:r>
            <w:r>
              <w:rPr>
                <w:rFonts w:hint="eastAsia" w:ascii="宋体" w:hAnsi="宋体" w:eastAsia="宋体" w:cs="Times New Roman"/>
                <w:color w:val="auto"/>
                <w:highlight w:val="none"/>
                <w:lang w:val="en-US" w:eastAsia="zh-CN"/>
              </w:rPr>
              <w:t>AAA级信用企业</w:t>
            </w:r>
            <w:r>
              <w:rPr>
                <w:rFonts w:hint="eastAsia" w:ascii="宋体" w:hAnsi="宋体" w:eastAsia="宋体" w:cs="Times New Roman"/>
                <w:color w:val="auto"/>
                <w:highlight w:val="none"/>
              </w:rPr>
              <w:t>认定证书，得</w:t>
            </w:r>
            <w:r>
              <w:rPr>
                <w:rFonts w:hint="eastAsia" w:hAnsi="宋体" w:cs="Times New Roman"/>
                <w:color w:val="auto"/>
                <w:highlight w:val="none"/>
                <w:lang w:val="en-US" w:eastAsia="zh-CN"/>
              </w:rPr>
              <w:t>0.5</w:t>
            </w:r>
            <w:r>
              <w:rPr>
                <w:rFonts w:hint="eastAsia" w:ascii="宋体" w:hAnsi="宋体" w:eastAsia="宋体" w:cs="Times New Roman"/>
                <w:color w:val="auto"/>
                <w:highlight w:val="none"/>
              </w:rPr>
              <w:t>分</w:t>
            </w:r>
            <w:r>
              <w:rPr>
                <w:rFonts w:hint="eastAsia" w:ascii="宋体" w:hAnsi="宋体" w:eastAsia="宋体" w:cs="Times New Roman"/>
                <w:color w:val="auto"/>
                <w:highlight w:val="none"/>
                <w:lang w:eastAsia="zh-CN"/>
              </w:rPr>
              <w:t>；</w:t>
            </w:r>
            <w:r>
              <w:rPr>
                <w:rFonts w:hint="eastAsia" w:hAnsi="宋体" w:cs="Times New Roman"/>
                <w:color w:val="auto"/>
                <w:highlight w:val="none"/>
                <w:lang w:val="en-US" w:eastAsia="zh-CN"/>
              </w:rPr>
              <w:t>以上资质</w:t>
            </w:r>
            <w:r>
              <w:rPr>
                <w:rFonts w:hint="eastAsia" w:hAnsi="宋体"/>
                <w:color w:val="auto"/>
                <w:highlight w:val="none"/>
                <w:lang w:val="en-US" w:eastAsia="zh-CN"/>
              </w:rPr>
              <w:t>未提供不得分，满分3分。（须提供有效证书复印件并加盖公章）</w:t>
            </w:r>
          </w:p>
        </w:tc>
      </w:tr>
    </w:tbl>
    <w:p>
      <w:pPr>
        <w:adjustRightInd w:val="0"/>
        <w:snapToGrid w:val="0"/>
        <w:rPr>
          <w:rFonts w:ascii="宋体" w:hAnsi="宋体" w:eastAsia="宋体" w:cs="宋体"/>
          <w:sz w:val="24"/>
          <w:highlight w:val="none"/>
        </w:rPr>
      </w:pPr>
      <w:r>
        <w:rPr>
          <w:rFonts w:hint="eastAsia" w:ascii="宋体" w:hAnsi="宋体" w:eastAsia="宋体" w:cs="宋体"/>
          <w:sz w:val="24"/>
          <w:highlight w:val="none"/>
          <w:lang w:val="en-US" w:eastAsia="zh-CN"/>
        </w:rPr>
        <w:t>2.3报价部分</w:t>
      </w:r>
      <w:r>
        <w:rPr>
          <w:rFonts w:hint="eastAsia" w:ascii="宋体" w:hAnsi="宋体" w:eastAsia="宋体" w:cs="宋体"/>
          <w:sz w:val="24"/>
          <w:highlight w:val="none"/>
        </w:rPr>
        <w:t>，</w:t>
      </w:r>
      <w:r>
        <w:rPr>
          <w:rFonts w:hint="eastAsia" w:ascii="宋体" w:hAnsi="宋体" w:eastAsia="宋体" w:cs="宋体"/>
          <w:b/>
          <w:i/>
          <w:sz w:val="24"/>
          <w:highlight w:val="none"/>
          <w:u w:val="single"/>
        </w:rPr>
        <w:t>满分为</w:t>
      </w:r>
      <w:r>
        <w:rPr>
          <w:rFonts w:hint="eastAsia" w:ascii="宋体" w:hAnsi="宋体" w:cs="宋体"/>
          <w:b/>
          <w:i/>
          <w:sz w:val="24"/>
          <w:highlight w:val="none"/>
          <w:u w:val="single"/>
          <w:lang w:val="en-US" w:eastAsia="zh-CN"/>
        </w:rPr>
        <w:t>6</w:t>
      </w:r>
      <w:r>
        <w:rPr>
          <w:rFonts w:hint="eastAsia" w:ascii="宋体" w:hAnsi="宋体" w:eastAsia="宋体" w:cs="宋体"/>
          <w:b/>
          <w:i/>
          <w:sz w:val="24"/>
          <w:highlight w:val="none"/>
          <w:u w:val="single"/>
          <w:lang w:val="en-US" w:eastAsia="zh-CN"/>
        </w:rPr>
        <w:t>0</w:t>
      </w:r>
      <w:r>
        <w:rPr>
          <w:rFonts w:hint="eastAsia" w:ascii="宋体" w:hAnsi="宋体" w:eastAsia="宋体" w:cs="宋体"/>
          <w:b/>
          <w:i/>
          <w:sz w:val="24"/>
          <w:highlight w:val="none"/>
          <w:u w:val="single"/>
        </w:rPr>
        <w:t>分</w:t>
      </w:r>
      <w:r>
        <w:rPr>
          <w:rFonts w:hint="eastAsia" w:ascii="宋体" w:hAnsi="宋体" w:eastAsia="宋体" w:cs="宋体"/>
          <w:sz w:val="24"/>
          <w:highlight w:val="none"/>
        </w:rPr>
        <w:t>。</w:t>
      </w:r>
    </w:p>
    <w:p>
      <w:pPr>
        <w:numPr>
          <w:ilvl w:val="0"/>
          <w:numId w:val="0"/>
        </w:numPr>
        <w:tabs>
          <w:tab w:val="left" w:pos="510"/>
          <w:tab w:val="left" w:pos="1050"/>
        </w:tabs>
        <w:spacing w:line="360" w:lineRule="auto"/>
        <w:ind w:left="510" w:leftChars="0"/>
        <w:rPr>
          <w:rFonts w:hint="eastAsia" w:ascii="宋体" w:cs="宋体"/>
          <w:color w:val="auto"/>
          <w:sz w:val="24"/>
          <w:highlight w:val="none"/>
          <w:lang w:val="en-US" w:eastAsia="zh-CN"/>
        </w:rPr>
      </w:pPr>
      <w:bookmarkStart w:id="9" w:name="OLE_LINK16"/>
      <w:r>
        <w:rPr>
          <w:rFonts w:hint="eastAsia" w:ascii="宋体" w:cs="宋体"/>
          <w:color w:val="auto"/>
          <w:sz w:val="24"/>
          <w:highlight w:val="none"/>
          <w:lang w:val="en-US" w:eastAsia="zh-CN"/>
        </w:rPr>
        <w:t>1.评估基准价计算公式：Fm=C×95%</w:t>
      </w:r>
    </w:p>
    <w:p>
      <w:pPr>
        <w:numPr>
          <w:ilvl w:val="0"/>
          <w:numId w:val="0"/>
        </w:numPr>
        <w:tabs>
          <w:tab w:val="left" w:pos="510"/>
          <w:tab w:val="left" w:pos="1050"/>
        </w:tabs>
        <w:spacing w:line="360" w:lineRule="auto"/>
        <w:ind w:left="510" w:leftChars="0"/>
        <w:rPr>
          <w:rFonts w:hint="eastAsia" w:ascii="宋体" w:cs="宋体"/>
          <w:color w:val="auto"/>
          <w:sz w:val="24"/>
          <w:highlight w:val="none"/>
        </w:rPr>
      </w:pPr>
      <w:r>
        <w:rPr>
          <w:rFonts w:hint="eastAsia" w:ascii="宋体" w:cs="宋体"/>
          <w:color w:val="auto"/>
          <w:sz w:val="24"/>
          <w:highlight w:val="none"/>
          <w:lang w:val="en-US" w:eastAsia="zh-CN"/>
        </w:rPr>
        <w:t>2.</w:t>
      </w:r>
      <w:r>
        <w:rPr>
          <w:rFonts w:hint="eastAsia" w:ascii="宋体" w:cs="宋体"/>
          <w:color w:val="auto"/>
          <w:sz w:val="24"/>
          <w:highlight w:val="none"/>
        </w:rPr>
        <w:t>各合格投标人的</w:t>
      </w:r>
      <w:r>
        <w:rPr>
          <w:rFonts w:hint="eastAsia" w:ascii="宋体" w:cs="宋体"/>
          <w:color w:val="auto"/>
          <w:sz w:val="24"/>
          <w:highlight w:val="none"/>
          <w:lang w:eastAsia="zh-CN"/>
        </w:rPr>
        <w:t>报价</w:t>
      </w:r>
      <w:r>
        <w:rPr>
          <w:rFonts w:hint="eastAsia" w:ascii="宋体" w:cs="宋体"/>
          <w:color w:val="auto"/>
          <w:sz w:val="24"/>
          <w:highlight w:val="none"/>
        </w:rPr>
        <w:t>得分</w:t>
      </w:r>
      <w:r>
        <w:rPr>
          <w:rFonts w:hint="eastAsia" w:ascii="宋体" w:cs="宋体"/>
          <w:color w:val="auto"/>
          <w:sz w:val="24"/>
          <w:highlight w:val="none"/>
          <w:lang w:eastAsia="zh-CN"/>
        </w:rPr>
        <w:t>公式：</w:t>
      </w:r>
    </w:p>
    <w:p>
      <w:pPr>
        <w:numPr>
          <w:ilvl w:val="0"/>
          <w:numId w:val="0"/>
        </w:numPr>
        <w:tabs>
          <w:tab w:val="left" w:pos="510"/>
          <w:tab w:val="left" w:pos="1050"/>
        </w:tabs>
        <w:spacing w:line="360" w:lineRule="auto"/>
        <w:ind w:left="510" w:leftChars="0"/>
        <w:rPr>
          <w:rFonts w:hint="eastAsia" w:ascii="宋体" w:cs="宋体"/>
          <w:color w:val="auto"/>
          <w:sz w:val="24"/>
          <w:highlight w:val="none"/>
        </w:rPr>
      </w:pPr>
      <w:r>
        <w:rPr>
          <w:rFonts w:hint="eastAsia" w:ascii="宋体" w:cs="宋体"/>
          <w:color w:val="auto"/>
          <w:sz w:val="24"/>
          <w:highlight w:val="none"/>
        </w:rPr>
        <w:t>PF=</w:t>
      </w:r>
      <w:r>
        <w:rPr>
          <w:rFonts w:hint="eastAsia" w:ascii="宋体" w:cs="宋体"/>
          <w:color w:val="auto"/>
          <w:sz w:val="24"/>
          <w:highlight w:val="none"/>
          <w:lang w:val="en-US" w:eastAsia="zh-CN"/>
        </w:rPr>
        <w:t>6</w:t>
      </w:r>
      <w:r>
        <w:rPr>
          <w:rFonts w:hint="eastAsia" w:ascii="宋体" w:cs="宋体"/>
          <w:color w:val="auto"/>
          <w:sz w:val="24"/>
          <w:highlight w:val="none"/>
        </w:rPr>
        <w:t>0-|F-Fm|</w:t>
      </w:r>
      <w:r>
        <w:rPr>
          <w:rFonts w:hint="eastAsia" w:ascii="宋体" w:cs="宋体"/>
          <w:color w:val="auto"/>
          <w:sz w:val="24"/>
          <w:highlight w:val="none"/>
          <w:lang w:val="en-US" w:eastAsia="zh-CN"/>
        </w:rPr>
        <w:t>÷</w:t>
      </w:r>
      <w:r>
        <w:rPr>
          <w:rFonts w:hint="eastAsia" w:ascii="宋体" w:cs="宋体"/>
          <w:color w:val="auto"/>
          <w:sz w:val="24"/>
          <w:highlight w:val="none"/>
        </w:rPr>
        <w:t>Fm×Q×100</w:t>
      </w:r>
    </w:p>
    <w:p>
      <w:pPr>
        <w:numPr>
          <w:ilvl w:val="0"/>
          <w:numId w:val="0"/>
        </w:numPr>
        <w:tabs>
          <w:tab w:val="left" w:pos="510"/>
          <w:tab w:val="left" w:pos="1050"/>
        </w:tabs>
        <w:spacing w:line="360" w:lineRule="auto"/>
        <w:ind w:left="510" w:leftChars="0"/>
        <w:rPr>
          <w:rFonts w:hint="eastAsia" w:ascii="宋体" w:cs="宋体"/>
          <w:color w:val="auto"/>
          <w:sz w:val="24"/>
          <w:highlight w:val="none"/>
          <w:lang w:val="en-US" w:eastAsia="zh-CN"/>
        </w:rPr>
      </w:pPr>
      <w:r>
        <w:rPr>
          <w:rFonts w:hint="eastAsia" w:ascii="宋体" w:cs="宋体"/>
          <w:color w:val="auto"/>
          <w:sz w:val="24"/>
          <w:highlight w:val="none"/>
          <w:lang w:val="en-US" w:eastAsia="zh-CN"/>
        </w:rPr>
        <w:t>式中：Fm为评估基准价</w:t>
      </w:r>
    </w:p>
    <w:p>
      <w:pPr>
        <w:numPr>
          <w:ilvl w:val="0"/>
          <w:numId w:val="0"/>
        </w:numPr>
        <w:tabs>
          <w:tab w:val="left" w:pos="510"/>
          <w:tab w:val="left" w:pos="1050"/>
        </w:tabs>
        <w:spacing w:line="360" w:lineRule="auto"/>
        <w:ind w:left="510" w:leftChars="0"/>
        <w:rPr>
          <w:rFonts w:hint="eastAsia" w:ascii="宋体" w:cs="宋体"/>
          <w:color w:val="auto"/>
          <w:sz w:val="24"/>
          <w:highlight w:val="none"/>
          <w:lang w:val="en-US" w:eastAsia="zh-CN"/>
        </w:rPr>
      </w:pPr>
      <w:r>
        <w:rPr>
          <w:rFonts w:hint="eastAsia" w:ascii="宋体" w:cs="宋体"/>
          <w:color w:val="auto"/>
          <w:sz w:val="24"/>
          <w:highlight w:val="none"/>
          <w:lang w:val="en-US" w:eastAsia="zh-CN"/>
        </w:rPr>
        <w:t>C为进入评分的各合格投标人的投标报价的算术平均值</w:t>
      </w:r>
    </w:p>
    <w:p>
      <w:pPr>
        <w:numPr>
          <w:ilvl w:val="0"/>
          <w:numId w:val="0"/>
        </w:numPr>
        <w:tabs>
          <w:tab w:val="left" w:pos="510"/>
          <w:tab w:val="left" w:pos="1050"/>
        </w:tabs>
        <w:spacing w:line="360" w:lineRule="auto"/>
        <w:ind w:left="510" w:leftChars="0"/>
        <w:rPr>
          <w:rFonts w:hint="eastAsia" w:ascii="宋体" w:cs="宋体"/>
          <w:color w:val="auto"/>
          <w:sz w:val="24"/>
          <w:highlight w:val="none"/>
          <w:lang w:val="en-US" w:eastAsia="zh-CN"/>
        </w:rPr>
      </w:pPr>
      <w:r>
        <w:rPr>
          <w:rFonts w:hint="eastAsia" w:ascii="宋体" w:cs="宋体"/>
          <w:color w:val="auto"/>
          <w:sz w:val="24"/>
          <w:highlight w:val="none"/>
          <w:lang w:val="en-US" w:eastAsia="zh-CN"/>
        </w:rPr>
        <w:t>PF为报价部分得分</w:t>
      </w:r>
    </w:p>
    <w:p>
      <w:pPr>
        <w:numPr>
          <w:ilvl w:val="0"/>
          <w:numId w:val="0"/>
        </w:numPr>
        <w:tabs>
          <w:tab w:val="left" w:pos="510"/>
          <w:tab w:val="left" w:pos="1050"/>
        </w:tabs>
        <w:spacing w:line="360" w:lineRule="auto"/>
        <w:ind w:left="510" w:leftChars="0"/>
        <w:rPr>
          <w:rFonts w:hint="eastAsia" w:ascii="宋体" w:cs="宋体"/>
          <w:color w:val="auto"/>
          <w:sz w:val="24"/>
          <w:highlight w:val="none"/>
          <w:lang w:val="en-US" w:eastAsia="zh-CN"/>
        </w:rPr>
      </w:pPr>
      <w:r>
        <w:rPr>
          <w:rFonts w:hint="eastAsia" w:ascii="宋体" w:cs="宋体"/>
          <w:color w:val="auto"/>
          <w:sz w:val="24"/>
          <w:highlight w:val="none"/>
          <w:lang w:val="en-US" w:eastAsia="zh-CN"/>
        </w:rPr>
        <w:t>F为进入评分的各合格投标人的投标报价</w:t>
      </w:r>
    </w:p>
    <w:p>
      <w:pPr>
        <w:numPr>
          <w:ilvl w:val="0"/>
          <w:numId w:val="0"/>
        </w:numPr>
        <w:tabs>
          <w:tab w:val="left" w:pos="510"/>
          <w:tab w:val="left" w:pos="1050"/>
        </w:tabs>
        <w:spacing w:line="360" w:lineRule="auto"/>
        <w:ind w:left="510" w:leftChars="0"/>
        <w:rPr>
          <w:rFonts w:hint="eastAsia" w:ascii="宋体" w:cs="宋体"/>
          <w:color w:val="auto"/>
          <w:sz w:val="24"/>
          <w:highlight w:val="none"/>
          <w:lang w:val="en-US" w:eastAsia="zh-CN"/>
        </w:rPr>
      </w:pPr>
      <w:r>
        <w:rPr>
          <w:rFonts w:hint="eastAsia" w:ascii="宋体" w:cs="宋体"/>
          <w:color w:val="auto"/>
          <w:sz w:val="24"/>
          <w:highlight w:val="none"/>
          <w:lang w:val="en-US" w:eastAsia="zh-CN"/>
        </w:rPr>
        <w:t>Q为折分系数，当F&lt;Fm时，Q=0.2；当F&gt;Fm时，Q=0.4。</w:t>
      </w:r>
    </w:p>
    <w:p>
      <w:pPr>
        <w:numPr>
          <w:ilvl w:val="0"/>
          <w:numId w:val="0"/>
        </w:numPr>
        <w:tabs>
          <w:tab w:val="left" w:pos="510"/>
          <w:tab w:val="left" w:pos="1050"/>
        </w:tabs>
        <w:spacing w:line="360" w:lineRule="auto"/>
        <w:ind w:left="510" w:leftChars="0"/>
        <w:rPr>
          <w:rFonts w:hint="eastAsia" w:ascii="宋体" w:cs="宋体"/>
          <w:color w:val="auto"/>
          <w:sz w:val="24"/>
          <w:highlight w:val="none"/>
          <w:lang w:val="en-US" w:eastAsia="zh-CN"/>
        </w:rPr>
      </w:pPr>
      <w:r>
        <w:rPr>
          <w:rFonts w:hint="eastAsia" w:ascii="宋体" w:cs="宋体"/>
          <w:color w:val="auto"/>
          <w:sz w:val="24"/>
          <w:highlight w:val="none"/>
          <w:lang w:val="en-US" w:eastAsia="zh-CN"/>
        </w:rPr>
        <w:t>注：（1）计算分数时四舍五入取小数点后两位。</w:t>
      </w:r>
    </w:p>
    <w:p>
      <w:pPr>
        <w:numPr>
          <w:ilvl w:val="0"/>
          <w:numId w:val="0"/>
        </w:numPr>
        <w:tabs>
          <w:tab w:val="left" w:pos="510"/>
          <w:tab w:val="left" w:pos="1050"/>
        </w:tabs>
        <w:spacing w:line="360" w:lineRule="auto"/>
        <w:ind w:left="510" w:leftChars="0"/>
        <w:rPr>
          <w:rFonts w:hint="eastAsia" w:ascii="宋体" w:cs="宋体"/>
          <w:color w:val="auto"/>
          <w:sz w:val="24"/>
          <w:highlight w:val="none"/>
        </w:rPr>
      </w:pPr>
      <w:r>
        <w:rPr>
          <w:rFonts w:hint="eastAsia" w:ascii="宋体" w:cs="宋体"/>
          <w:color w:val="auto"/>
          <w:sz w:val="24"/>
          <w:highlight w:val="none"/>
          <w:lang w:val="en-US" w:eastAsia="zh-CN"/>
        </w:rPr>
        <w:t xml:space="preserve">    （2）PF最低得分为30分。</w:t>
      </w:r>
    </w:p>
    <w:bookmarkEnd w:id="9"/>
    <w:p>
      <w:pPr>
        <w:spacing w:line="240" w:lineRule="auto"/>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注：上述材料提供复印件的，需加盖公章，投标人对其真实性负责；参与投标的相关资料，招标人不负责返还。</w:t>
      </w:r>
    </w:p>
    <w:p>
      <w:pPr>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定标</w:t>
      </w:r>
    </w:p>
    <w:p>
      <w:pPr>
        <w:spacing w:line="240" w:lineRule="auto"/>
        <w:ind w:firstLine="480" w:firstLineChars="200"/>
        <w:rPr>
          <w:rFonts w:ascii="宋体" w:hAnsi="宋体" w:cs="宋体"/>
          <w:sz w:val="24"/>
          <w:szCs w:val="24"/>
          <w:highlight w:val="none"/>
        </w:rPr>
      </w:pPr>
      <w:r>
        <w:rPr>
          <w:rFonts w:hint="eastAsia" w:ascii="宋体" w:hAnsi="宋体" w:cs="宋体"/>
          <w:sz w:val="24"/>
          <w:szCs w:val="24"/>
          <w:highlight w:val="none"/>
        </w:rPr>
        <w:t>评标委员会根据各投标人的总得分(取小数点后两位)，并按从高到低顺序排列，推荐不超过3名的中标候选人。若出现最高得分有两家</w:t>
      </w:r>
      <w:r>
        <w:rPr>
          <w:rFonts w:hint="eastAsia" w:ascii="宋体" w:hAnsi="宋体" w:cs="宋体"/>
          <w:sz w:val="24"/>
          <w:szCs w:val="24"/>
          <w:highlight w:val="none"/>
          <w:lang w:eastAsia="zh-CN"/>
        </w:rPr>
        <w:t>及</w:t>
      </w:r>
      <w:r>
        <w:rPr>
          <w:rFonts w:hint="eastAsia" w:ascii="宋体" w:hAnsi="宋体" w:cs="宋体"/>
          <w:sz w:val="24"/>
          <w:szCs w:val="24"/>
          <w:highlight w:val="none"/>
        </w:rPr>
        <w:t>以上投标人的分值相同时，则</w:t>
      </w:r>
      <w:r>
        <w:rPr>
          <w:rFonts w:hint="eastAsia" w:ascii="宋体" w:hAnsi="宋体" w:cs="宋体"/>
          <w:sz w:val="24"/>
          <w:szCs w:val="24"/>
          <w:highlight w:val="none"/>
          <w:lang w:eastAsia="zh-CN"/>
        </w:rPr>
        <w:t>以价格分从高到低的顺序确定</w:t>
      </w:r>
      <w:r>
        <w:rPr>
          <w:rFonts w:hint="eastAsia" w:ascii="宋体" w:hAnsi="宋体" w:cs="宋体"/>
          <w:sz w:val="24"/>
          <w:szCs w:val="24"/>
          <w:highlight w:val="none"/>
        </w:rPr>
        <w:t>中标候选人的排序</w:t>
      </w:r>
      <w:r>
        <w:rPr>
          <w:rFonts w:hint="eastAsia" w:ascii="宋体" w:hAnsi="宋体" w:cs="宋体"/>
          <w:sz w:val="24"/>
          <w:szCs w:val="24"/>
          <w:highlight w:val="none"/>
          <w:lang w:eastAsia="zh-CN"/>
        </w:rPr>
        <w:t>；若各得分均相同时，则</w:t>
      </w:r>
      <w:r>
        <w:rPr>
          <w:rFonts w:hint="eastAsia" w:ascii="宋体" w:hAnsi="宋体" w:cs="宋体"/>
          <w:sz w:val="24"/>
          <w:szCs w:val="24"/>
          <w:highlight w:val="none"/>
        </w:rPr>
        <w:t>通过随机抽取的方式确定中标候选人的排序。</w:t>
      </w:r>
    </w:p>
    <w:p>
      <w:pPr>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4</w:t>
      </w:r>
      <w:r>
        <w:rPr>
          <w:rFonts w:hint="eastAsia" w:ascii="宋体" w:hAnsi="宋体" w:cs="宋体"/>
          <w:sz w:val="24"/>
          <w:szCs w:val="24"/>
          <w:highlight w:val="none"/>
        </w:rPr>
        <w:t>.评标程序</w:t>
      </w:r>
    </w:p>
    <w:p>
      <w:pPr>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4</w:t>
      </w:r>
      <w:r>
        <w:rPr>
          <w:rFonts w:hint="eastAsia" w:ascii="宋体" w:hAnsi="宋体" w:cs="宋体"/>
          <w:sz w:val="24"/>
          <w:szCs w:val="24"/>
          <w:highlight w:val="none"/>
        </w:rPr>
        <w:t>.1初步评审</w:t>
      </w:r>
    </w:p>
    <w:p>
      <w:pPr>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4</w:t>
      </w:r>
      <w:r>
        <w:rPr>
          <w:rFonts w:hint="eastAsia" w:ascii="宋体" w:hAnsi="宋体" w:cs="宋体"/>
          <w:sz w:val="24"/>
          <w:szCs w:val="24"/>
          <w:highlight w:val="none"/>
        </w:rPr>
        <w:t>.1.1评标委员会可以要求投标人提交“</w:t>
      </w:r>
      <w:r>
        <w:rPr>
          <w:rFonts w:hint="eastAsia" w:ascii="宋体" w:hAnsi="宋体" w:cs="宋体"/>
          <w:sz w:val="24"/>
          <w:szCs w:val="24"/>
          <w:highlight w:val="none"/>
          <w:lang w:eastAsia="zh-CN"/>
        </w:rPr>
        <w:t>报价人资格要求</w:t>
      </w:r>
      <w:r>
        <w:rPr>
          <w:rFonts w:hint="eastAsia" w:ascii="宋体" w:hAnsi="宋体" w:cs="宋体"/>
          <w:sz w:val="24"/>
          <w:szCs w:val="24"/>
          <w:highlight w:val="none"/>
        </w:rPr>
        <w:t>”规定的有关证明和证件的原件，以便核验。评标委员会依据第</w:t>
      </w:r>
      <w:r>
        <w:rPr>
          <w:rFonts w:hint="eastAsia" w:ascii="宋体" w:hAnsi="宋体" w:cs="宋体"/>
          <w:sz w:val="24"/>
          <w:szCs w:val="24"/>
          <w:highlight w:val="none"/>
          <w:lang w:eastAsia="zh-CN"/>
        </w:rPr>
        <w:t>三条</w:t>
      </w:r>
      <w:r>
        <w:rPr>
          <w:rFonts w:hint="eastAsia" w:ascii="宋体" w:hAnsi="宋体" w:cs="宋体"/>
          <w:sz w:val="24"/>
          <w:szCs w:val="24"/>
          <w:highlight w:val="none"/>
        </w:rPr>
        <w:t>规定的标准对投标文件进行初步评审。有一项不符合评审标准的，评标委员会应当否决其投标。</w:t>
      </w:r>
    </w:p>
    <w:p>
      <w:pPr>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4</w:t>
      </w:r>
      <w:r>
        <w:rPr>
          <w:rFonts w:hint="eastAsia" w:ascii="宋体" w:hAnsi="宋体" w:cs="宋体"/>
          <w:sz w:val="24"/>
          <w:szCs w:val="24"/>
          <w:highlight w:val="none"/>
        </w:rPr>
        <w:t>.1.2投标人有以下情形之一的，评标委员会应当否决其投标：</w:t>
      </w:r>
    </w:p>
    <w:p>
      <w:pPr>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（1）投标文件没有对招标文件的实质性要求和条件作出响应，或者对招标文件的偏差超出招标文件规定的偏差范围或最高项数；</w:t>
      </w:r>
    </w:p>
    <w:p>
      <w:pPr>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（2）有串通投标、弄虚作假、行贿等违法行为。</w:t>
      </w:r>
    </w:p>
    <w:p>
      <w:pPr>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4</w:t>
      </w:r>
      <w:r>
        <w:rPr>
          <w:rFonts w:hint="eastAsia" w:ascii="宋体" w:hAnsi="宋体" w:cs="宋体"/>
          <w:sz w:val="24"/>
          <w:szCs w:val="24"/>
          <w:highlight w:val="none"/>
        </w:rPr>
        <w:t>.1.3投标报价有算术错误及其他错误的，评标委员会按以下原则要求投标人对投标报价进行修正，并要求投标人书面澄清确认。投标人拒不澄清确认的，评标委员会应当否决其投标：</w:t>
      </w:r>
    </w:p>
    <w:p>
      <w:pPr>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（1）投标文件中的大写金额与小写金额不一致的，以大写金额为准；</w:t>
      </w:r>
    </w:p>
    <w:p>
      <w:pPr>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（2）总价金额与单价金额不一致的，以单价金额为准，但单价金额小数点有明显错误的除外；</w:t>
      </w:r>
    </w:p>
    <w:p>
      <w:pPr>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（3）投标报价为各分项报价金额之和，投标报价与分项报价的合价不一致的，应以各分项合价累计数为准，修正投标报价；</w:t>
      </w:r>
    </w:p>
    <w:p>
      <w:pPr>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（4）如果分项报价中存在缺漏项，则视为缺漏项价格已包含在其他分项报价之中。</w:t>
      </w:r>
    </w:p>
    <w:p>
      <w:pPr>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4</w:t>
      </w:r>
      <w:r>
        <w:rPr>
          <w:rFonts w:hint="eastAsia" w:ascii="宋体" w:hAnsi="宋体" w:cs="宋体"/>
          <w:sz w:val="24"/>
          <w:szCs w:val="24"/>
          <w:highlight w:val="none"/>
        </w:rPr>
        <w:t>.2详细评审</w:t>
      </w:r>
    </w:p>
    <w:p>
      <w:pPr>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4</w:t>
      </w:r>
      <w:r>
        <w:rPr>
          <w:rFonts w:hint="eastAsia" w:ascii="宋体" w:hAnsi="宋体" w:cs="宋体"/>
          <w:sz w:val="24"/>
          <w:szCs w:val="24"/>
          <w:highlight w:val="none"/>
        </w:rPr>
        <w:t>.2.1评标委员会按本条第</w:t>
      </w:r>
      <w:r>
        <w:rPr>
          <w:rFonts w:hint="eastAsia" w:ascii="宋体" w:hAnsi="宋体" w:cs="宋体"/>
          <w:sz w:val="24"/>
          <w:szCs w:val="24"/>
          <w:highlight w:val="none"/>
          <w:lang w:val="en-US" w:eastAsia="zh-CN"/>
        </w:rPr>
        <w:t>2</w:t>
      </w:r>
      <w:r>
        <w:rPr>
          <w:rFonts w:hint="eastAsia" w:ascii="宋体" w:hAnsi="宋体" w:cs="宋体"/>
          <w:sz w:val="24"/>
          <w:szCs w:val="24"/>
          <w:highlight w:val="none"/>
        </w:rPr>
        <w:t>款规定的量化因素和分值进行打分，并计算出综合评估得分。</w:t>
      </w:r>
    </w:p>
    <w:p>
      <w:pPr>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4</w:t>
      </w:r>
      <w:r>
        <w:rPr>
          <w:rFonts w:hint="eastAsia" w:ascii="宋体" w:hAnsi="宋体" w:cs="宋体"/>
          <w:sz w:val="24"/>
          <w:szCs w:val="24"/>
          <w:highlight w:val="none"/>
        </w:rPr>
        <w:t>.2.2评分分值计算保留小数点后两位，小数点后第三位“四舍五入”。</w:t>
      </w:r>
    </w:p>
    <w:p>
      <w:pPr>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4</w:t>
      </w:r>
      <w:r>
        <w:rPr>
          <w:rFonts w:hint="eastAsia" w:ascii="宋体" w:hAnsi="宋体" w:cs="宋体"/>
          <w:sz w:val="24"/>
          <w:szCs w:val="24"/>
          <w:highlight w:val="none"/>
        </w:rPr>
        <w:t>.2.</w:t>
      </w:r>
      <w:r>
        <w:rPr>
          <w:rFonts w:hint="eastAsia" w:ascii="宋体" w:hAnsi="宋体" w:cs="宋体"/>
          <w:sz w:val="24"/>
          <w:szCs w:val="24"/>
          <w:highlight w:val="none"/>
          <w:lang w:val="en-US" w:eastAsia="zh-CN"/>
        </w:rPr>
        <w:t>3</w:t>
      </w:r>
      <w:r>
        <w:rPr>
          <w:rFonts w:hint="eastAsia" w:ascii="宋体" w:hAnsi="宋体" w:cs="宋体"/>
          <w:sz w:val="24"/>
          <w:szCs w:val="24"/>
          <w:highlight w:val="none"/>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4</w:t>
      </w:r>
      <w:r>
        <w:rPr>
          <w:rFonts w:hint="eastAsia" w:ascii="宋体" w:hAnsi="宋体" w:cs="宋体"/>
          <w:sz w:val="24"/>
          <w:szCs w:val="24"/>
          <w:highlight w:val="none"/>
        </w:rPr>
        <w:t>.3投标文件的澄清</w:t>
      </w:r>
    </w:p>
    <w:p>
      <w:pPr>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4</w:t>
      </w:r>
      <w:r>
        <w:rPr>
          <w:rFonts w:hint="eastAsia" w:ascii="宋体" w:hAnsi="宋体" w:cs="宋体"/>
          <w:sz w:val="24"/>
          <w:szCs w:val="24"/>
          <w:highlight w:val="none"/>
        </w:rPr>
        <w:t>.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4</w:t>
      </w:r>
      <w:r>
        <w:rPr>
          <w:rFonts w:hint="eastAsia" w:ascii="宋体" w:hAnsi="宋体" w:cs="宋体"/>
          <w:sz w:val="24"/>
          <w:szCs w:val="24"/>
          <w:highlight w:val="none"/>
        </w:rPr>
        <w:t>.3.2澄清、说明或补正不得超出投标文件的范围且不得改变投标文件的实质性内容，并构成投标文件的组成部分。</w:t>
      </w:r>
    </w:p>
    <w:p>
      <w:pPr>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4</w:t>
      </w:r>
      <w:r>
        <w:rPr>
          <w:rFonts w:hint="eastAsia" w:ascii="宋体" w:hAnsi="宋体" w:cs="宋体"/>
          <w:sz w:val="24"/>
          <w:szCs w:val="24"/>
          <w:highlight w:val="none"/>
        </w:rPr>
        <w:t>.3.3评标委员会对投标人提交的澄清、说明或补正有疑问的，可以要求投标人进一步澄清、说明或补正，直至满足评标委员会的要求。</w:t>
      </w:r>
    </w:p>
    <w:p>
      <w:pPr>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4</w:t>
      </w:r>
      <w:r>
        <w:rPr>
          <w:rFonts w:hint="eastAsia" w:ascii="宋体" w:hAnsi="宋体" w:cs="宋体"/>
          <w:sz w:val="24"/>
          <w:szCs w:val="24"/>
          <w:highlight w:val="none"/>
        </w:rPr>
        <w:t>.4评标结果</w:t>
      </w:r>
    </w:p>
    <w:p>
      <w:pPr>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4</w:t>
      </w:r>
      <w:r>
        <w:rPr>
          <w:rFonts w:hint="eastAsia" w:ascii="宋体" w:hAnsi="宋体" w:cs="宋体"/>
          <w:sz w:val="24"/>
          <w:szCs w:val="24"/>
          <w:highlight w:val="none"/>
        </w:rPr>
        <w:t>.4.1评标委员会按照得分由高到低的顺序推荐中标候选人，并标明排序。</w:t>
      </w:r>
    </w:p>
    <w:p>
      <w:pPr>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4</w:t>
      </w:r>
      <w:r>
        <w:rPr>
          <w:rFonts w:hint="eastAsia" w:ascii="宋体" w:hAnsi="宋体" w:cs="宋体"/>
          <w:sz w:val="24"/>
          <w:szCs w:val="24"/>
          <w:highlight w:val="none"/>
        </w:rPr>
        <w:t>.4.2评标委员会完成评标后，应当向招标人提交书面评标报告</w:t>
      </w:r>
      <w:r>
        <w:rPr>
          <w:rFonts w:hint="eastAsia" w:ascii="宋体" w:hAnsi="宋体" w:cs="宋体"/>
          <w:sz w:val="24"/>
          <w:szCs w:val="24"/>
          <w:highlight w:val="none"/>
          <w:lang w:eastAsia="zh-CN"/>
        </w:rPr>
        <w:t>材料</w:t>
      </w:r>
      <w:r>
        <w:rPr>
          <w:rFonts w:hint="eastAsia" w:ascii="宋体" w:hAnsi="宋体" w:cs="宋体"/>
          <w:sz w:val="24"/>
          <w:szCs w:val="24"/>
          <w:highlight w:val="none"/>
        </w:rPr>
        <w:t>和中标候选人名单。</w:t>
      </w:r>
    </w:p>
    <w:p>
      <w:pPr>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5</w:t>
      </w:r>
      <w:r>
        <w:rPr>
          <w:rFonts w:hint="eastAsia" w:ascii="宋体" w:hAnsi="宋体" w:cs="宋体"/>
          <w:sz w:val="24"/>
          <w:szCs w:val="24"/>
          <w:highlight w:val="none"/>
        </w:rPr>
        <w:t>.特殊情况的处置程序</w:t>
      </w:r>
    </w:p>
    <w:p>
      <w:pPr>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5</w:t>
      </w:r>
      <w:r>
        <w:rPr>
          <w:rFonts w:hint="eastAsia" w:ascii="宋体" w:hAnsi="宋体" w:cs="宋体"/>
          <w:sz w:val="24"/>
          <w:szCs w:val="24"/>
          <w:highlight w:val="none"/>
        </w:rPr>
        <w:t>.1关于评标活动暂停</w:t>
      </w:r>
    </w:p>
    <w:p>
      <w:pPr>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5</w:t>
      </w:r>
      <w:r>
        <w:rPr>
          <w:rFonts w:hint="eastAsia" w:ascii="宋体" w:hAnsi="宋体" w:cs="宋体"/>
          <w:sz w:val="24"/>
          <w:szCs w:val="24"/>
          <w:highlight w:val="none"/>
        </w:rPr>
        <w:t>.1.1评标委员会应当执行连续评标的原则，按评标办法中规定的程序、内容、方法、标准完成全部评标工作。只有发生不可抗力导致评标工作无法继续时，评标活动方可暂停。</w:t>
      </w:r>
    </w:p>
    <w:p>
      <w:pPr>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5</w:t>
      </w:r>
      <w:r>
        <w:rPr>
          <w:rFonts w:hint="eastAsia" w:ascii="宋体" w:hAnsi="宋体" w:cs="宋体"/>
          <w:sz w:val="24"/>
          <w:szCs w:val="24"/>
          <w:highlight w:val="none"/>
        </w:rPr>
        <w:t>.1.2发生评标暂停情况时，评标委员会应当封存全部投标文件和评标记录，待不可抗力的影响结束且具备继续评标的条件时，由原评标委员会继续评标。</w:t>
      </w:r>
    </w:p>
    <w:p>
      <w:pPr>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5</w:t>
      </w:r>
      <w:r>
        <w:rPr>
          <w:rFonts w:hint="eastAsia" w:ascii="宋体" w:hAnsi="宋体" w:cs="宋体"/>
          <w:sz w:val="24"/>
          <w:szCs w:val="24"/>
          <w:highlight w:val="none"/>
        </w:rPr>
        <w:t>.2关于评标中途更换评标委员会成员</w:t>
      </w:r>
    </w:p>
    <w:p>
      <w:pPr>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5</w:t>
      </w:r>
      <w:r>
        <w:rPr>
          <w:rFonts w:hint="eastAsia" w:ascii="宋体" w:hAnsi="宋体" w:cs="宋体"/>
          <w:sz w:val="24"/>
          <w:szCs w:val="24"/>
          <w:highlight w:val="none"/>
        </w:rPr>
        <w:t>.2.1除非发生下列情况之一，评标委员会成员不得在评标中途更换：</w:t>
      </w:r>
    </w:p>
    <w:p>
      <w:pPr>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（1）因不可抗拒的客观原因，不能到场或需在评标中途退出评标活动。</w:t>
      </w:r>
    </w:p>
    <w:p>
      <w:pPr>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（2）根据法律法规规定，某个或某几个评标委员会成员需要回避。</w:t>
      </w:r>
    </w:p>
    <w:p>
      <w:pPr>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5</w:t>
      </w:r>
      <w:r>
        <w:rPr>
          <w:rFonts w:hint="eastAsia" w:ascii="宋体" w:hAnsi="宋体" w:cs="宋体"/>
          <w:sz w:val="24"/>
          <w:szCs w:val="24"/>
          <w:highlight w:val="none"/>
        </w:rPr>
        <w:t>.2.2退出评标的评标委员会成员，其已完成的评标行为无效。由招标人根据本办法规定的评标委员会成员生产方式另行确定替代者进行评标。</w:t>
      </w:r>
    </w:p>
    <w:p>
      <w:pPr>
        <w:snapToGrid/>
        <w:spacing w:line="240" w:lineRule="auto"/>
        <w:jc w:val="left"/>
        <w:rPr>
          <w:rFonts w:ascii="宋体" w:hAnsi="宋体"/>
          <w:b/>
          <w:sz w:val="28"/>
          <w:szCs w:val="28"/>
          <w:highlight w:val="none"/>
        </w:rPr>
      </w:pPr>
      <w:r>
        <w:rPr>
          <w:rFonts w:hint="eastAsia" w:ascii="宋体" w:hAnsi="宋体"/>
          <w:b/>
          <w:sz w:val="28"/>
          <w:szCs w:val="28"/>
          <w:highlight w:val="none"/>
        </w:rPr>
        <w:t>七、其他</w:t>
      </w:r>
    </w:p>
    <w:p>
      <w:pPr>
        <w:spacing w:line="240" w:lineRule="auto"/>
        <w:ind w:firstLine="480" w:firstLineChars="200"/>
        <w:rPr>
          <w:rFonts w:ascii="宋体" w:hAnsi="宋体"/>
          <w:sz w:val="24"/>
          <w:szCs w:val="24"/>
          <w:highlight w:val="none"/>
        </w:rPr>
      </w:pPr>
      <w:r>
        <w:rPr>
          <w:rFonts w:hint="eastAsia" w:ascii="宋体" w:hAnsi="宋体"/>
          <w:sz w:val="24"/>
          <w:szCs w:val="24"/>
          <w:highlight w:val="none"/>
        </w:rPr>
        <w:t>1、本招标文件解释权属</w:t>
      </w:r>
      <w:r>
        <w:rPr>
          <w:rFonts w:hint="eastAsia" w:hAnsi="宋体"/>
          <w:sz w:val="24"/>
          <w:szCs w:val="24"/>
          <w:highlight w:val="none"/>
        </w:rPr>
        <w:t>福建省福能海峡发电有限公司</w:t>
      </w:r>
      <w:r>
        <w:rPr>
          <w:rFonts w:hint="eastAsia" w:ascii="宋体" w:hAnsi="宋体"/>
          <w:sz w:val="24"/>
          <w:szCs w:val="24"/>
          <w:highlight w:val="none"/>
        </w:rPr>
        <w:t>，如未中选恕不解释。</w:t>
      </w:r>
    </w:p>
    <w:p>
      <w:pPr>
        <w:snapToGrid/>
        <w:spacing w:line="240" w:lineRule="auto"/>
        <w:jc w:val="left"/>
        <w:rPr>
          <w:rFonts w:ascii="宋体" w:hAnsi="宋体"/>
          <w:b/>
          <w:sz w:val="28"/>
          <w:szCs w:val="28"/>
          <w:highlight w:val="none"/>
        </w:rPr>
      </w:pPr>
      <w:r>
        <w:rPr>
          <w:rFonts w:hint="eastAsia" w:ascii="宋体" w:hAnsi="宋体"/>
          <w:b/>
          <w:sz w:val="28"/>
          <w:szCs w:val="28"/>
          <w:highlight w:val="none"/>
        </w:rPr>
        <w:t>八、报价文件内容：</w:t>
      </w:r>
    </w:p>
    <w:p>
      <w:pPr>
        <w:pStyle w:val="15"/>
        <w:spacing w:line="240" w:lineRule="auto"/>
        <w:ind w:firstLine="480" w:firstLineChars="200"/>
        <w:rPr>
          <w:rFonts w:hAnsi="宋体"/>
          <w:sz w:val="24"/>
          <w:highlight w:val="none"/>
        </w:rPr>
      </w:pPr>
      <w:r>
        <w:rPr>
          <w:rFonts w:hint="eastAsia" w:hAnsi="宋体"/>
          <w:sz w:val="24"/>
          <w:highlight w:val="none"/>
        </w:rPr>
        <w:t>（1）报价人根据招标人提供的</w:t>
      </w:r>
      <w:r>
        <w:rPr>
          <w:rFonts w:hint="eastAsia" w:hAnsi="宋体"/>
          <w:sz w:val="24"/>
          <w:highlight w:val="none"/>
          <w:lang w:eastAsia="zh-CN"/>
        </w:rPr>
        <w:t>询价</w:t>
      </w:r>
      <w:r>
        <w:rPr>
          <w:rFonts w:hint="eastAsia" w:hAnsi="宋体"/>
          <w:sz w:val="24"/>
          <w:highlight w:val="none"/>
        </w:rPr>
        <w:t>函编制的报价文件；</w:t>
      </w:r>
    </w:p>
    <w:p>
      <w:pPr>
        <w:pStyle w:val="15"/>
        <w:spacing w:line="240" w:lineRule="auto"/>
        <w:ind w:firstLine="480" w:firstLineChars="200"/>
        <w:rPr>
          <w:rFonts w:hAnsi="宋体"/>
          <w:sz w:val="24"/>
          <w:highlight w:val="none"/>
        </w:rPr>
      </w:pPr>
      <w:r>
        <w:rPr>
          <w:rFonts w:hint="eastAsia" w:hAnsi="宋体"/>
          <w:sz w:val="24"/>
          <w:highlight w:val="none"/>
        </w:rPr>
        <w:t>（2）报价文件封面格式见附件1，投标函格式见附件2；</w:t>
      </w:r>
    </w:p>
    <w:p>
      <w:pPr>
        <w:pStyle w:val="15"/>
        <w:spacing w:line="240" w:lineRule="auto"/>
        <w:ind w:firstLine="480" w:firstLineChars="200"/>
        <w:rPr>
          <w:rFonts w:hAnsi="宋体"/>
          <w:sz w:val="24"/>
          <w:highlight w:val="none"/>
        </w:rPr>
      </w:pPr>
      <w:r>
        <w:rPr>
          <w:rFonts w:hint="eastAsia" w:hAnsi="宋体"/>
          <w:sz w:val="24"/>
          <w:highlight w:val="none"/>
        </w:rPr>
        <w:t>（3）企业资质文件；</w:t>
      </w:r>
    </w:p>
    <w:p>
      <w:pPr>
        <w:pStyle w:val="15"/>
        <w:spacing w:line="240" w:lineRule="auto"/>
        <w:ind w:firstLine="480" w:firstLineChars="200"/>
        <w:rPr>
          <w:rFonts w:hAnsi="宋体"/>
          <w:sz w:val="24"/>
          <w:highlight w:val="none"/>
        </w:rPr>
      </w:pPr>
      <w:r>
        <w:rPr>
          <w:rFonts w:hint="eastAsia" w:hAnsi="宋体"/>
          <w:sz w:val="24"/>
          <w:highlight w:val="none"/>
        </w:rPr>
        <w:t>（4）</w:t>
      </w:r>
      <w:r>
        <w:rPr>
          <w:rFonts w:hint="eastAsia" w:hAnsi="宋体"/>
          <w:sz w:val="24"/>
          <w:highlight w:val="none"/>
          <w:lang w:val="en-US" w:eastAsia="zh-CN"/>
        </w:rPr>
        <w:t>类似</w:t>
      </w:r>
      <w:r>
        <w:rPr>
          <w:rFonts w:hint="eastAsia" w:hAnsi="宋体"/>
          <w:sz w:val="24"/>
          <w:highlight w:val="none"/>
        </w:rPr>
        <w:t>业绩；</w:t>
      </w:r>
    </w:p>
    <w:p>
      <w:pPr>
        <w:pStyle w:val="15"/>
        <w:spacing w:line="240" w:lineRule="auto"/>
        <w:ind w:firstLine="480" w:firstLineChars="200"/>
        <w:rPr>
          <w:rFonts w:hAnsi="宋体"/>
          <w:sz w:val="24"/>
          <w:highlight w:val="none"/>
        </w:rPr>
      </w:pPr>
      <w:r>
        <w:rPr>
          <w:rFonts w:hint="eastAsia" w:hAnsi="宋体"/>
          <w:sz w:val="24"/>
          <w:highlight w:val="none"/>
        </w:rPr>
        <w:t>（5）报价人认为适合的其他补充材料。</w:t>
      </w:r>
    </w:p>
    <w:p>
      <w:pPr>
        <w:pStyle w:val="15"/>
        <w:spacing w:line="360" w:lineRule="auto"/>
        <w:ind w:firstLine="480" w:firstLineChars="200"/>
        <w:rPr>
          <w:rFonts w:hAnsi="宋体"/>
          <w:sz w:val="24"/>
          <w:highlight w:val="none"/>
        </w:rPr>
      </w:pPr>
    </w:p>
    <w:p>
      <w:pPr>
        <w:pStyle w:val="15"/>
        <w:spacing w:line="360" w:lineRule="auto"/>
        <w:ind w:firstLine="480" w:firstLineChars="200"/>
        <w:rPr>
          <w:rFonts w:hAnsi="宋体"/>
          <w:sz w:val="24"/>
          <w:highlight w:val="none"/>
        </w:rPr>
      </w:pPr>
    </w:p>
    <w:p>
      <w:pPr>
        <w:pStyle w:val="15"/>
        <w:spacing w:line="360" w:lineRule="auto"/>
        <w:ind w:firstLine="480" w:firstLineChars="200"/>
        <w:rPr>
          <w:rFonts w:hAnsi="宋体"/>
          <w:sz w:val="24"/>
          <w:highlight w:val="none"/>
        </w:rPr>
      </w:pPr>
    </w:p>
    <w:p>
      <w:pPr>
        <w:pStyle w:val="15"/>
        <w:spacing w:line="360" w:lineRule="auto"/>
        <w:ind w:firstLine="480" w:firstLineChars="200"/>
        <w:rPr>
          <w:rFonts w:hAnsi="宋体"/>
          <w:sz w:val="24"/>
          <w:highlight w:val="none"/>
        </w:rPr>
      </w:pPr>
    </w:p>
    <w:p>
      <w:pPr>
        <w:pStyle w:val="15"/>
        <w:spacing w:line="360" w:lineRule="auto"/>
        <w:ind w:firstLine="480" w:firstLineChars="200"/>
        <w:rPr>
          <w:rFonts w:hAnsi="宋体"/>
          <w:sz w:val="24"/>
          <w:highlight w:val="none"/>
        </w:rPr>
      </w:pPr>
    </w:p>
    <w:p>
      <w:pPr>
        <w:pStyle w:val="15"/>
        <w:spacing w:line="360" w:lineRule="auto"/>
        <w:ind w:firstLine="480" w:firstLineChars="200"/>
        <w:rPr>
          <w:rFonts w:hAnsi="宋体"/>
          <w:sz w:val="24"/>
          <w:highlight w:val="none"/>
        </w:rPr>
      </w:pPr>
    </w:p>
    <w:p>
      <w:pPr>
        <w:jc w:val="left"/>
        <w:rPr>
          <w:rFonts w:ascii="宋体" w:hAnsi="宋体"/>
          <w:b/>
          <w:sz w:val="52"/>
          <w:szCs w:val="52"/>
          <w:highlight w:val="none"/>
        </w:rPr>
      </w:pPr>
      <w:r>
        <w:rPr>
          <w:rFonts w:hint="eastAsia" w:ascii="宋体" w:hAnsi="宋体"/>
          <w:b/>
          <w:sz w:val="52"/>
          <w:szCs w:val="52"/>
          <w:highlight w:val="none"/>
        </w:rPr>
        <w:t>附件1：</w:t>
      </w:r>
    </w:p>
    <w:p>
      <w:pPr>
        <w:jc w:val="center"/>
        <w:rPr>
          <w:rFonts w:ascii="宋体" w:hAnsi="宋体"/>
          <w:b/>
          <w:sz w:val="84"/>
          <w:highlight w:val="none"/>
        </w:rPr>
      </w:pPr>
      <w:r>
        <w:rPr>
          <w:rFonts w:hint="eastAsia" w:ascii="宋体" w:hAnsi="宋体"/>
          <w:b/>
          <w:sz w:val="84"/>
          <w:highlight w:val="none"/>
        </w:rPr>
        <w:t>报  价  文  件</w:t>
      </w:r>
    </w:p>
    <w:p>
      <w:pPr>
        <w:rPr>
          <w:rFonts w:ascii="宋体" w:hAnsi="宋体"/>
          <w:b/>
          <w:sz w:val="44"/>
          <w:highlight w:val="none"/>
        </w:rPr>
      </w:pPr>
    </w:p>
    <w:p>
      <w:pPr>
        <w:jc w:val="center"/>
        <w:rPr>
          <w:rFonts w:ascii="宋体" w:hAnsi="宋体"/>
          <w:b/>
          <w:sz w:val="44"/>
          <w:highlight w:val="none"/>
        </w:rPr>
      </w:pPr>
    </w:p>
    <w:p>
      <w:pPr>
        <w:ind w:firstLine="240" w:firstLineChars="100"/>
        <w:rPr>
          <w:rFonts w:ascii="宋体" w:hAnsi="宋体"/>
          <w:sz w:val="24"/>
          <w:szCs w:val="24"/>
          <w:highlight w:val="none"/>
        </w:rPr>
      </w:pPr>
      <w:r>
        <w:rPr>
          <w:rFonts w:hint="eastAsia" w:ascii="宋体" w:hAnsi="宋体"/>
          <w:sz w:val="24"/>
          <w:szCs w:val="24"/>
          <w:highlight w:val="none"/>
        </w:rPr>
        <w:t>报价单位：（盖章）</w:t>
      </w:r>
    </w:p>
    <w:p>
      <w:pPr>
        <w:rPr>
          <w:rFonts w:ascii="宋体" w:hAnsi="宋体"/>
          <w:sz w:val="24"/>
          <w:szCs w:val="24"/>
          <w:highlight w:val="none"/>
        </w:rPr>
      </w:pPr>
    </w:p>
    <w:p>
      <w:pPr>
        <w:ind w:firstLine="240" w:firstLineChars="100"/>
        <w:rPr>
          <w:rFonts w:ascii="宋体" w:hAnsi="宋体"/>
          <w:sz w:val="24"/>
          <w:szCs w:val="24"/>
          <w:highlight w:val="none"/>
        </w:rPr>
      </w:pPr>
      <w:r>
        <w:rPr>
          <w:rFonts w:hint="eastAsia" w:ascii="宋体" w:hAnsi="宋体"/>
          <w:sz w:val="24"/>
          <w:szCs w:val="24"/>
          <w:highlight w:val="none"/>
        </w:rPr>
        <w:t>法定代表人（或授权人）：（签字、盖章）</w:t>
      </w:r>
    </w:p>
    <w:p>
      <w:pPr>
        <w:ind w:firstLine="240" w:firstLineChars="100"/>
        <w:rPr>
          <w:rFonts w:ascii="宋体" w:hAnsi="宋体"/>
          <w:sz w:val="24"/>
          <w:szCs w:val="24"/>
          <w:highlight w:val="none"/>
        </w:rPr>
      </w:pPr>
      <w:r>
        <w:rPr>
          <w:rFonts w:hint="eastAsia" w:ascii="宋体" w:hAnsi="宋体"/>
          <w:sz w:val="24"/>
          <w:szCs w:val="24"/>
          <w:highlight w:val="none"/>
        </w:rPr>
        <w:t>地    址：</w:t>
      </w:r>
    </w:p>
    <w:p>
      <w:pPr>
        <w:ind w:firstLine="240" w:firstLineChars="100"/>
        <w:rPr>
          <w:rFonts w:ascii="宋体" w:hAnsi="宋体"/>
          <w:sz w:val="24"/>
          <w:szCs w:val="24"/>
          <w:highlight w:val="none"/>
        </w:rPr>
      </w:pPr>
      <w:r>
        <w:rPr>
          <w:rFonts w:hint="eastAsia" w:ascii="宋体" w:hAnsi="宋体"/>
          <w:sz w:val="24"/>
          <w:szCs w:val="24"/>
          <w:highlight w:val="none"/>
        </w:rPr>
        <w:t>邮政编码：</w:t>
      </w:r>
    </w:p>
    <w:p>
      <w:pPr>
        <w:ind w:firstLine="240" w:firstLineChars="100"/>
        <w:rPr>
          <w:rFonts w:ascii="宋体" w:hAnsi="宋体"/>
          <w:sz w:val="24"/>
          <w:szCs w:val="24"/>
          <w:highlight w:val="none"/>
        </w:rPr>
      </w:pPr>
      <w:r>
        <w:rPr>
          <w:rFonts w:hint="eastAsia" w:ascii="宋体" w:hAnsi="宋体"/>
          <w:sz w:val="24"/>
          <w:szCs w:val="24"/>
          <w:highlight w:val="none"/>
        </w:rPr>
        <w:t>联 系 人：</w:t>
      </w:r>
    </w:p>
    <w:p>
      <w:pPr>
        <w:ind w:firstLine="240" w:firstLineChars="100"/>
        <w:rPr>
          <w:rFonts w:ascii="宋体" w:hAnsi="宋体"/>
          <w:sz w:val="24"/>
          <w:szCs w:val="24"/>
          <w:highlight w:val="none"/>
        </w:rPr>
      </w:pPr>
      <w:r>
        <w:rPr>
          <w:rFonts w:hint="eastAsia" w:ascii="宋体" w:hAnsi="宋体"/>
          <w:sz w:val="24"/>
          <w:szCs w:val="24"/>
          <w:highlight w:val="none"/>
        </w:rPr>
        <w:t>电    话：</w:t>
      </w:r>
    </w:p>
    <w:p>
      <w:pPr>
        <w:ind w:firstLine="240" w:firstLineChars="100"/>
        <w:rPr>
          <w:rFonts w:ascii="宋体" w:hAnsi="宋体"/>
          <w:sz w:val="24"/>
          <w:szCs w:val="24"/>
          <w:highlight w:val="none"/>
        </w:rPr>
      </w:pPr>
      <w:r>
        <w:rPr>
          <w:rFonts w:hint="eastAsia" w:ascii="宋体" w:hAnsi="宋体"/>
          <w:sz w:val="24"/>
          <w:szCs w:val="24"/>
          <w:highlight w:val="none"/>
        </w:rPr>
        <w:t>传    真：</w:t>
      </w:r>
    </w:p>
    <w:p>
      <w:pPr>
        <w:ind w:firstLine="240" w:firstLineChars="100"/>
        <w:rPr>
          <w:rFonts w:ascii="宋体" w:hAnsi="宋体"/>
          <w:sz w:val="24"/>
          <w:szCs w:val="24"/>
          <w:highlight w:val="none"/>
        </w:rPr>
      </w:pPr>
      <w:r>
        <w:rPr>
          <w:rFonts w:hint="eastAsia" w:ascii="宋体" w:hAnsi="宋体"/>
          <w:sz w:val="24"/>
          <w:szCs w:val="24"/>
          <w:highlight w:val="none"/>
        </w:rPr>
        <w:t>开户银行：</w:t>
      </w:r>
    </w:p>
    <w:p>
      <w:pPr>
        <w:ind w:firstLine="240" w:firstLineChars="100"/>
        <w:rPr>
          <w:rFonts w:ascii="宋体" w:hAnsi="宋体"/>
          <w:sz w:val="24"/>
          <w:szCs w:val="24"/>
          <w:highlight w:val="none"/>
        </w:rPr>
      </w:pPr>
      <w:r>
        <w:rPr>
          <w:rFonts w:hint="eastAsia" w:ascii="宋体" w:hAnsi="宋体"/>
          <w:sz w:val="24"/>
          <w:szCs w:val="24"/>
          <w:highlight w:val="none"/>
        </w:rPr>
        <w:t>帐    号：</w:t>
      </w:r>
    </w:p>
    <w:p>
      <w:pPr>
        <w:jc w:val="center"/>
        <w:rPr>
          <w:rFonts w:ascii="宋体" w:hAnsi="宋体"/>
          <w:sz w:val="24"/>
          <w:szCs w:val="24"/>
          <w:highlight w:val="none"/>
        </w:rPr>
      </w:pPr>
    </w:p>
    <w:p>
      <w:pPr>
        <w:jc w:val="center"/>
        <w:rPr>
          <w:rFonts w:ascii="宋体" w:hAnsi="宋体"/>
          <w:sz w:val="28"/>
          <w:highlight w:val="none"/>
        </w:rPr>
        <w:sectPr>
          <w:footerReference r:id="rId3" w:type="default"/>
          <w:endnotePr>
            <w:numFmt w:val="decimal"/>
          </w:endnotePr>
          <w:pgSz w:w="11906" w:h="16838"/>
          <w:pgMar w:top="1440" w:right="1418" w:bottom="1418" w:left="1418" w:header="851" w:footer="992" w:gutter="0"/>
          <w:cols w:space="720" w:num="1"/>
          <w:docGrid w:type="lines" w:linePitch="254" w:charSpace="0"/>
        </w:sectPr>
      </w:pPr>
      <w:r>
        <w:rPr>
          <w:rFonts w:hint="eastAsia" w:ascii="宋体" w:hAnsi="宋体"/>
          <w:sz w:val="24"/>
          <w:szCs w:val="24"/>
          <w:highlight w:val="none"/>
        </w:rPr>
        <w:t>日期：年月日</w:t>
      </w:r>
    </w:p>
    <w:p>
      <w:pPr>
        <w:jc w:val="left"/>
        <w:rPr>
          <w:rFonts w:ascii="宋体" w:hAnsi="宋体"/>
          <w:sz w:val="44"/>
          <w:highlight w:val="none"/>
        </w:rPr>
      </w:pPr>
      <w:r>
        <w:rPr>
          <w:rFonts w:hint="eastAsia" w:ascii="宋体" w:hAnsi="宋体"/>
          <w:sz w:val="44"/>
          <w:highlight w:val="none"/>
        </w:rPr>
        <w:t>附件2：</w:t>
      </w:r>
    </w:p>
    <w:p>
      <w:pPr>
        <w:jc w:val="center"/>
        <w:rPr>
          <w:rFonts w:ascii="宋体" w:hAnsi="宋体"/>
          <w:b/>
          <w:sz w:val="32"/>
          <w:highlight w:val="none"/>
        </w:rPr>
      </w:pPr>
      <w:r>
        <w:rPr>
          <w:rFonts w:hint="eastAsia" w:ascii="宋体" w:hAnsi="宋体"/>
          <w:sz w:val="44"/>
          <w:highlight w:val="none"/>
        </w:rPr>
        <w:t>投  标  函</w:t>
      </w:r>
    </w:p>
    <w:p>
      <w:pPr>
        <w:rPr>
          <w:rFonts w:ascii="宋体" w:hAnsi="宋体"/>
          <w:sz w:val="28"/>
          <w:highlight w:val="none"/>
        </w:rPr>
      </w:pPr>
    </w:p>
    <w:p>
      <w:pPr>
        <w:spacing w:line="500" w:lineRule="exact"/>
        <w:rPr>
          <w:rFonts w:ascii="宋体" w:hAnsi="宋体"/>
          <w:sz w:val="24"/>
          <w:szCs w:val="24"/>
          <w:highlight w:val="none"/>
        </w:rPr>
      </w:pPr>
      <w:r>
        <w:rPr>
          <w:rFonts w:hint="eastAsia" w:ascii="宋体" w:hAnsi="宋体"/>
          <w:sz w:val="24"/>
          <w:szCs w:val="24"/>
          <w:highlight w:val="none"/>
        </w:rPr>
        <w:t>福建省福能海峡发电有限公司：</w:t>
      </w:r>
    </w:p>
    <w:p>
      <w:pPr>
        <w:pStyle w:val="9"/>
        <w:spacing w:line="360" w:lineRule="auto"/>
        <w:ind w:firstLine="480" w:firstLineChars="200"/>
        <w:rPr>
          <w:rFonts w:hint="default" w:hAnsi="宋体"/>
          <w:color w:val="auto"/>
          <w:szCs w:val="24"/>
          <w:highlight w:val="none"/>
          <w:lang w:val="en-US"/>
        </w:rPr>
      </w:pPr>
      <w:r>
        <w:rPr>
          <w:rFonts w:hint="eastAsia" w:hAnsi="宋体"/>
          <w:color w:val="auto"/>
          <w:szCs w:val="24"/>
          <w:highlight w:val="none"/>
        </w:rPr>
        <w:t>1.我方已仔细研究了</w:t>
      </w:r>
      <w:r>
        <w:rPr>
          <w:rFonts w:hint="eastAsia" w:hAnsi="宋体"/>
          <w:bCs/>
          <w:color w:val="auto"/>
          <w:sz w:val="24"/>
          <w:lang w:val="en-US" w:eastAsia="zh-CN"/>
        </w:rPr>
        <w:t>2025年度龙下风电场构筑物防雷装置安全检测项目</w:t>
      </w:r>
      <w:r>
        <w:rPr>
          <w:rFonts w:hint="eastAsia" w:hAnsi="宋体"/>
          <w:color w:val="auto"/>
          <w:szCs w:val="24"/>
          <w:highlight w:val="none"/>
        </w:rPr>
        <w:t>投标</w:t>
      </w:r>
      <w:r>
        <w:rPr>
          <w:rFonts w:hint="eastAsia" w:hAnsi="宋体"/>
          <w:color w:val="auto"/>
          <w:szCs w:val="24"/>
          <w:highlight w:val="none"/>
          <w:lang w:eastAsia="zh-CN"/>
        </w:rPr>
        <w:t>询价</w:t>
      </w:r>
      <w:r>
        <w:rPr>
          <w:rFonts w:hint="eastAsia" w:hAnsi="宋体"/>
          <w:color w:val="auto"/>
          <w:szCs w:val="24"/>
          <w:highlight w:val="none"/>
        </w:rPr>
        <w:t>函的全部内容，愿意以人民币</w:t>
      </w:r>
      <w:r>
        <w:rPr>
          <w:rFonts w:hint="eastAsia" w:hAnsi="宋体"/>
          <w:color w:val="auto"/>
          <w:szCs w:val="24"/>
          <w:highlight w:val="none"/>
          <w:u w:val="single"/>
          <w:lang w:val="en-US" w:eastAsia="zh-CN"/>
        </w:rPr>
        <w:t xml:space="preserve">  </w:t>
      </w:r>
      <w:r>
        <w:rPr>
          <w:rFonts w:hint="eastAsia" w:hAnsi="宋体"/>
          <w:color w:val="auto"/>
          <w:szCs w:val="24"/>
          <w:highlight w:val="none"/>
        </w:rPr>
        <w:t>（大写）元（</w:t>
      </w:r>
      <w:r>
        <w:rPr>
          <w:rFonts w:hint="default" w:ascii="Arial" w:hAnsi="Arial" w:cs="Arial"/>
          <w:color w:val="auto"/>
          <w:szCs w:val="24"/>
          <w:highlight w:val="none"/>
        </w:rPr>
        <w:t>¥</w:t>
      </w:r>
      <w:r>
        <w:rPr>
          <w:rFonts w:hint="eastAsia" w:hAnsi="宋体"/>
          <w:color w:val="auto"/>
          <w:szCs w:val="24"/>
          <w:highlight w:val="none"/>
          <w:u w:val="single"/>
          <w:lang w:val="en-US" w:eastAsia="zh-CN"/>
        </w:rPr>
        <w:t xml:space="preserve">  </w:t>
      </w:r>
      <w:r>
        <w:rPr>
          <w:rFonts w:hint="eastAsia" w:hAnsi="宋体"/>
          <w:color w:val="auto"/>
          <w:szCs w:val="24"/>
          <w:highlight w:val="none"/>
        </w:rPr>
        <w:t>元）</w:t>
      </w:r>
      <w:r>
        <w:rPr>
          <w:rFonts w:hint="eastAsia" w:hAnsi="宋体"/>
          <w:color w:val="auto"/>
          <w:szCs w:val="24"/>
          <w:highlight w:val="none"/>
          <w:lang w:eastAsia="zh-CN"/>
        </w:rPr>
        <w:t>（税率</w:t>
      </w:r>
      <w:r>
        <w:rPr>
          <w:rFonts w:hint="eastAsia" w:hAnsi="宋体"/>
          <w:color w:val="auto"/>
          <w:szCs w:val="24"/>
          <w:highlight w:val="none"/>
          <w:u w:val="single"/>
          <w:lang w:eastAsia="zh-CN"/>
        </w:rPr>
        <w:t>：</w:t>
      </w:r>
      <w:r>
        <w:rPr>
          <w:rFonts w:hint="eastAsia" w:hAnsi="宋体"/>
          <w:color w:val="auto"/>
          <w:szCs w:val="24"/>
          <w:highlight w:val="none"/>
          <w:u w:val="single"/>
          <w:lang w:val="en-US" w:eastAsia="zh-CN"/>
        </w:rPr>
        <w:t xml:space="preserve"> %</w:t>
      </w:r>
      <w:r>
        <w:rPr>
          <w:rFonts w:hint="eastAsia" w:hAnsi="宋体"/>
          <w:color w:val="auto"/>
          <w:szCs w:val="24"/>
          <w:highlight w:val="none"/>
          <w:lang w:eastAsia="zh-CN"/>
        </w:rPr>
        <w:t>）</w:t>
      </w:r>
      <w:r>
        <w:rPr>
          <w:rFonts w:hint="eastAsia" w:hAnsi="宋体"/>
          <w:color w:val="auto"/>
          <w:szCs w:val="24"/>
          <w:highlight w:val="none"/>
        </w:rPr>
        <w:t>的投标总报价承接该项业务；服务期：合同签订成立生效之日起60天内完成。</w:t>
      </w:r>
    </w:p>
    <w:p>
      <w:pPr>
        <w:pStyle w:val="9"/>
        <w:spacing w:line="360" w:lineRule="auto"/>
        <w:rPr>
          <w:rFonts w:hAnsi="宋体"/>
          <w:color w:val="auto"/>
          <w:szCs w:val="24"/>
          <w:highlight w:val="none"/>
        </w:rPr>
      </w:pPr>
      <w:r>
        <w:rPr>
          <w:rFonts w:hint="eastAsia" w:hAnsi="宋体"/>
          <w:color w:val="auto"/>
          <w:szCs w:val="24"/>
          <w:highlight w:val="none"/>
        </w:rPr>
        <w:t xml:space="preserve">    2.我方承诺在投标有效期内不修改、撤销投标文件。</w:t>
      </w:r>
    </w:p>
    <w:p>
      <w:pPr>
        <w:pStyle w:val="9"/>
        <w:spacing w:line="360" w:lineRule="auto"/>
        <w:rPr>
          <w:rFonts w:hAnsi="宋体"/>
          <w:color w:val="auto"/>
          <w:szCs w:val="24"/>
          <w:highlight w:val="none"/>
        </w:rPr>
      </w:pPr>
      <w:r>
        <w:rPr>
          <w:rFonts w:hint="eastAsia" w:hAnsi="宋体"/>
          <w:color w:val="auto"/>
          <w:szCs w:val="24"/>
          <w:highlight w:val="none"/>
        </w:rPr>
        <w:t xml:space="preserve">    3.如我方中标：</w:t>
      </w:r>
    </w:p>
    <w:p>
      <w:pPr>
        <w:pStyle w:val="9"/>
        <w:spacing w:line="360" w:lineRule="auto"/>
        <w:rPr>
          <w:rFonts w:hAnsi="宋体"/>
          <w:color w:val="auto"/>
          <w:szCs w:val="24"/>
          <w:highlight w:val="none"/>
        </w:rPr>
      </w:pPr>
      <w:r>
        <w:rPr>
          <w:rFonts w:hint="eastAsia" w:hAnsi="宋体"/>
          <w:color w:val="auto"/>
          <w:szCs w:val="24"/>
          <w:highlight w:val="none"/>
        </w:rPr>
        <w:t xml:space="preserve">    （1）我方将派出</w:t>
      </w:r>
      <w:r>
        <w:rPr>
          <w:rFonts w:hint="eastAsia" w:hAnsi="宋体"/>
          <w:color w:val="auto"/>
          <w:szCs w:val="24"/>
          <w:highlight w:val="none"/>
          <w:u w:val="single"/>
          <w:lang w:val="en-US" w:eastAsia="zh-CN"/>
        </w:rPr>
        <w:t xml:space="preserve">   </w:t>
      </w:r>
      <w:r>
        <w:rPr>
          <w:rFonts w:hint="eastAsia" w:hAnsi="宋体"/>
          <w:color w:val="auto"/>
          <w:szCs w:val="24"/>
          <w:highlight w:val="none"/>
        </w:rPr>
        <w:t>为本项目的负责人。</w:t>
      </w:r>
    </w:p>
    <w:p>
      <w:pPr>
        <w:pStyle w:val="9"/>
        <w:spacing w:line="360" w:lineRule="auto"/>
        <w:rPr>
          <w:rFonts w:hAnsi="宋体"/>
          <w:color w:val="auto"/>
          <w:szCs w:val="24"/>
          <w:highlight w:val="none"/>
        </w:rPr>
      </w:pPr>
      <w:r>
        <w:rPr>
          <w:rFonts w:hint="eastAsia" w:hAnsi="宋体"/>
          <w:color w:val="auto"/>
          <w:szCs w:val="24"/>
          <w:highlight w:val="none"/>
        </w:rPr>
        <w:t xml:space="preserve">    （2）我方承诺在收到中标通知书后，在中标通知书规定的期限内与你方签订合同。</w:t>
      </w:r>
    </w:p>
    <w:p>
      <w:pPr>
        <w:pStyle w:val="9"/>
        <w:spacing w:line="360" w:lineRule="auto"/>
        <w:rPr>
          <w:rFonts w:hAnsi="宋体"/>
          <w:color w:val="auto"/>
          <w:szCs w:val="24"/>
          <w:highlight w:val="none"/>
        </w:rPr>
      </w:pPr>
      <w:r>
        <w:rPr>
          <w:rFonts w:hint="eastAsia" w:hAnsi="宋体"/>
          <w:color w:val="auto"/>
          <w:szCs w:val="24"/>
          <w:highlight w:val="none"/>
        </w:rPr>
        <w:t xml:space="preserve">    4．我方在此声明，所递交的投标文件及有关资料内容完整、真实和准确。</w:t>
      </w:r>
    </w:p>
    <w:p>
      <w:pPr>
        <w:pStyle w:val="15"/>
        <w:spacing w:line="460" w:lineRule="exact"/>
        <w:ind w:firstLine="480" w:firstLineChars="200"/>
        <w:rPr>
          <w:rFonts w:hAnsi="宋体"/>
          <w:sz w:val="24"/>
          <w:szCs w:val="24"/>
          <w:highlight w:val="none"/>
        </w:rPr>
      </w:pPr>
      <w:r>
        <w:rPr>
          <w:rFonts w:hint="eastAsia" w:hAnsi="宋体"/>
          <w:sz w:val="24"/>
          <w:szCs w:val="24"/>
          <w:highlight w:val="none"/>
        </w:rPr>
        <w:t>5．我方自行承担此次报价的所有费用。</w:t>
      </w:r>
    </w:p>
    <w:p>
      <w:pPr>
        <w:pStyle w:val="39"/>
        <w:spacing w:after="0" w:line="360" w:lineRule="auto"/>
        <w:jc w:val="right"/>
        <w:rPr>
          <w:highlight w:val="none"/>
        </w:rPr>
      </w:pPr>
      <w:r>
        <w:rPr>
          <w:rFonts w:hint="eastAsia"/>
          <w:highlight w:val="none"/>
        </w:rPr>
        <w:t>投标人：</w:t>
      </w:r>
      <w:r>
        <w:rPr>
          <w:rFonts w:hint="eastAsia"/>
          <w:highlight w:val="none"/>
          <w:u w:val="single"/>
        </w:rPr>
        <w:t xml:space="preserve">                   （盖投标单位公章）</w:t>
      </w:r>
    </w:p>
    <w:p>
      <w:pPr>
        <w:pStyle w:val="39"/>
        <w:spacing w:after="0" w:line="360" w:lineRule="auto"/>
        <w:jc w:val="right"/>
        <w:rPr>
          <w:highlight w:val="none"/>
        </w:rPr>
      </w:pPr>
      <w:r>
        <w:rPr>
          <w:rFonts w:hint="eastAsia"/>
          <w:highlight w:val="none"/>
        </w:rPr>
        <w:t>法定代表人或其委托代理人：</w:t>
      </w:r>
      <w:r>
        <w:rPr>
          <w:rFonts w:hint="eastAsia"/>
          <w:highlight w:val="none"/>
          <w:u w:val="single"/>
        </w:rPr>
        <w:t xml:space="preserve">           （签字）</w:t>
      </w:r>
    </w:p>
    <w:p>
      <w:pPr>
        <w:pStyle w:val="39"/>
        <w:spacing w:after="0" w:line="360" w:lineRule="auto"/>
        <w:jc w:val="right"/>
        <w:rPr>
          <w:highlight w:val="none"/>
          <w:u w:val="single"/>
        </w:rPr>
      </w:pPr>
      <w:r>
        <w:rPr>
          <w:rFonts w:hint="eastAsia"/>
          <w:highlight w:val="none"/>
        </w:rPr>
        <w:t>地址：。</w:t>
      </w:r>
    </w:p>
    <w:p>
      <w:pPr>
        <w:pStyle w:val="39"/>
        <w:spacing w:after="0" w:line="360" w:lineRule="auto"/>
        <w:jc w:val="right"/>
        <w:rPr>
          <w:highlight w:val="none"/>
        </w:rPr>
      </w:pPr>
      <w:r>
        <w:rPr>
          <w:rFonts w:hint="eastAsia"/>
          <w:highlight w:val="none"/>
        </w:rPr>
        <w:t>电话：。</w:t>
      </w:r>
    </w:p>
    <w:p>
      <w:pPr>
        <w:pStyle w:val="39"/>
        <w:spacing w:after="0" w:line="360" w:lineRule="auto"/>
        <w:jc w:val="right"/>
        <w:rPr>
          <w:highlight w:val="none"/>
        </w:rPr>
      </w:pPr>
      <w:r>
        <w:rPr>
          <w:rFonts w:hint="eastAsia"/>
          <w:highlight w:val="none"/>
        </w:rPr>
        <w:t xml:space="preserve">传真： 。   </w:t>
      </w:r>
    </w:p>
    <w:p>
      <w:pPr>
        <w:pStyle w:val="39"/>
        <w:spacing w:after="0" w:line="360" w:lineRule="auto"/>
        <w:jc w:val="right"/>
        <w:rPr>
          <w:highlight w:val="none"/>
        </w:rPr>
      </w:pPr>
      <w:r>
        <w:rPr>
          <w:rFonts w:hint="eastAsia"/>
          <w:highlight w:val="none"/>
        </w:rPr>
        <w:t xml:space="preserve">邮政编码： 。                                                                                                                                                                                                                                 </w:t>
      </w:r>
    </w:p>
    <w:p>
      <w:pPr>
        <w:pStyle w:val="39"/>
        <w:spacing w:after="0" w:line="360" w:lineRule="auto"/>
        <w:jc w:val="right"/>
        <w:rPr>
          <w:rFonts w:hAnsi="宋体"/>
          <w:kern w:val="2"/>
          <w:highlight w:val="none"/>
        </w:rPr>
      </w:pPr>
      <w:r>
        <w:rPr>
          <w:rFonts w:hint="eastAsia"/>
          <w:highlight w:val="none"/>
        </w:rPr>
        <w:t>年</w:t>
      </w:r>
      <w:r>
        <w:rPr>
          <w:rFonts w:hint="eastAsia"/>
          <w:highlight w:val="none"/>
          <w:lang w:val="en-US" w:eastAsia="zh-CN"/>
        </w:rPr>
        <w:t xml:space="preserve">   </w:t>
      </w:r>
      <w:r>
        <w:rPr>
          <w:rFonts w:hint="eastAsia"/>
          <w:highlight w:val="none"/>
        </w:rPr>
        <w:t>月</w:t>
      </w:r>
      <w:r>
        <w:rPr>
          <w:rFonts w:hint="eastAsia"/>
          <w:highlight w:val="none"/>
          <w:lang w:val="en-US" w:eastAsia="zh-CN"/>
        </w:rPr>
        <w:t xml:space="preserve">  </w:t>
      </w:r>
      <w:r>
        <w:rPr>
          <w:rFonts w:hint="eastAsia"/>
          <w:highlight w:val="none"/>
        </w:rPr>
        <w:t>日</w:t>
      </w:r>
    </w:p>
    <w:p>
      <w:pPr>
        <w:spacing w:line="500" w:lineRule="exact"/>
        <w:rPr>
          <w:rFonts w:ascii="宋体" w:hAnsi="宋体"/>
          <w:sz w:val="24"/>
          <w:szCs w:val="24"/>
          <w:highlight w:val="none"/>
        </w:rPr>
      </w:pPr>
    </w:p>
    <w:p>
      <w:pPr>
        <w:snapToGrid w:val="0"/>
        <w:spacing w:line="0" w:lineRule="atLeast"/>
        <w:jc w:val="left"/>
        <w:rPr>
          <w:rFonts w:hint="eastAsia" w:ascii="宋体" w:hAnsi="宋体"/>
          <w:b/>
          <w:sz w:val="28"/>
          <w:szCs w:val="28"/>
          <w:highlight w:val="none"/>
          <w:lang w:eastAsia="zh-CN"/>
        </w:rPr>
      </w:pPr>
    </w:p>
    <w:p>
      <w:pPr>
        <w:snapToGrid w:val="0"/>
        <w:spacing w:line="0" w:lineRule="atLeast"/>
        <w:jc w:val="left"/>
        <w:rPr>
          <w:rFonts w:hint="eastAsia" w:ascii="宋体" w:hAnsi="宋体"/>
          <w:b/>
          <w:sz w:val="28"/>
          <w:szCs w:val="28"/>
          <w:highlight w:val="none"/>
          <w:lang w:eastAsia="zh-CN"/>
        </w:rPr>
      </w:pPr>
    </w:p>
    <w:p>
      <w:pPr>
        <w:snapToGrid w:val="0"/>
        <w:spacing w:line="0" w:lineRule="atLeast"/>
        <w:jc w:val="left"/>
        <w:rPr>
          <w:rFonts w:hint="eastAsia" w:ascii="宋体" w:hAnsi="宋体"/>
          <w:b/>
          <w:sz w:val="28"/>
          <w:szCs w:val="28"/>
          <w:highlight w:val="none"/>
          <w:lang w:eastAsia="zh-CN"/>
        </w:rPr>
      </w:pPr>
    </w:p>
    <w:p>
      <w:pPr>
        <w:snapToGrid w:val="0"/>
        <w:spacing w:line="0" w:lineRule="atLeast"/>
        <w:jc w:val="left"/>
        <w:rPr>
          <w:rFonts w:hint="eastAsia" w:ascii="宋体" w:hAnsi="宋体"/>
          <w:b/>
          <w:sz w:val="28"/>
          <w:szCs w:val="28"/>
          <w:highlight w:val="none"/>
          <w:lang w:eastAsia="zh-CN"/>
        </w:rPr>
      </w:pPr>
    </w:p>
    <w:p>
      <w:pPr>
        <w:snapToGrid w:val="0"/>
        <w:spacing w:line="0" w:lineRule="atLeast"/>
        <w:jc w:val="left"/>
        <w:rPr>
          <w:rFonts w:hint="eastAsia" w:ascii="宋体" w:hAnsi="宋体"/>
          <w:b/>
          <w:sz w:val="28"/>
          <w:szCs w:val="28"/>
          <w:highlight w:val="none"/>
          <w:lang w:eastAsia="zh-CN"/>
        </w:rPr>
      </w:pPr>
    </w:p>
    <w:p>
      <w:pPr>
        <w:snapToGrid w:val="0"/>
        <w:spacing w:line="0" w:lineRule="atLeast"/>
        <w:jc w:val="left"/>
        <w:rPr>
          <w:rFonts w:hint="eastAsia" w:ascii="宋体" w:hAnsi="宋体"/>
          <w:b/>
          <w:sz w:val="28"/>
          <w:szCs w:val="28"/>
          <w:highlight w:val="none"/>
          <w:lang w:eastAsia="zh-CN"/>
        </w:rPr>
      </w:pPr>
    </w:p>
    <w:p>
      <w:pPr>
        <w:snapToGrid w:val="0"/>
        <w:spacing w:line="0" w:lineRule="atLeast"/>
        <w:jc w:val="left"/>
        <w:rPr>
          <w:rFonts w:hint="eastAsia" w:ascii="宋体" w:hAnsi="宋体"/>
          <w:b/>
          <w:sz w:val="28"/>
          <w:szCs w:val="28"/>
          <w:highlight w:val="none"/>
          <w:lang w:eastAsia="zh-CN"/>
        </w:rPr>
      </w:pPr>
    </w:p>
    <w:p>
      <w:pPr>
        <w:snapToGrid w:val="0"/>
        <w:spacing w:line="0" w:lineRule="atLeast"/>
        <w:jc w:val="left"/>
        <w:rPr>
          <w:rFonts w:hint="eastAsia" w:ascii="宋体" w:hAnsi="宋体"/>
          <w:b/>
          <w:sz w:val="28"/>
          <w:szCs w:val="28"/>
          <w:highlight w:val="none"/>
          <w:lang w:eastAsia="zh-CN"/>
        </w:rPr>
      </w:pPr>
    </w:p>
    <w:p>
      <w:pPr>
        <w:snapToGrid w:val="0"/>
        <w:spacing w:line="0" w:lineRule="atLeast"/>
        <w:jc w:val="left"/>
      </w:pPr>
      <w:r>
        <w:rPr>
          <w:rFonts w:hint="eastAsia" w:ascii="宋体" w:hAnsi="宋体"/>
          <w:b/>
          <w:sz w:val="28"/>
          <w:szCs w:val="28"/>
          <w:highlight w:val="none"/>
        </w:rPr>
        <w:t>九、合同主要条款</w:t>
      </w:r>
    </w:p>
    <w:p>
      <w:pPr>
        <w:pStyle w:val="21"/>
        <w:rPr>
          <w:rFonts w:hint="eastAsia" w:hAnsi="黑体" w:eastAsia="黑体"/>
          <w:spacing w:val="30"/>
          <w:kern w:val="0"/>
          <w:sz w:val="44"/>
          <w:szCs w:val="44"/>
          <w:highlight w:val="none"/>
          <w:lang w:val="en-US"/>
        </w:rPr>
      </w:pPr>
    </w:p>
    <w:p>
      <w:pPr>
        <w:jc w:val="center"/>
        <w:rPr>
          <w:rFonts w:hint="eastAsia" w:hAnsi="黑体" w:eastAsia="黑体"/>
          <w:bCs w:val="0"/>
          <w:spacing w:val="30"/>
          <w:kern w:val="0"/>
          <w:sz w:val="44"/>
          <w:szCs w:val="44"/>
          <w:highlight w:val="none"/>
          <w:lang w:val="en-US" w:eastAsia="zh-CN"/>
        </w:rPr>
      </w:pPr>
    </w:p>
    <w:p>
      <w:pPr>
        <w:jc w:val="center"/>
        <w:rPr>
          <w:rFonts w:hint="eastAsia" w:ascii="Times New Roman" w:hAnsi="黑体" w:eastAsia="黑体" w:cs="Times New Roman"/>
          <w:spacing w:val="30"/>
          <w:kern w:val="0"/>
          <w:sz w:val="44"/>
          <w:szCs w:val="44"/>
          <w:highlight w:val="none"/>
        </w:rPr>
      </w:pPr>
      <w:r>
        <w:rPr>
          <w:rFonts w:hint="eastAsia" w:hAnsi="黑体" w:eastAsia="黑体"/>
          <w:bCs w:val="0"/>
          <w:spacing w:val="30"/>
          <w:kern w:val="0"/>
          <w:sz w:val="44"/>
          <w:szCs w:val="44"/>
          <w:highlight w:val="none"/>
          <w:lang w:val="en-US" w:eastAsia="zh-CN"/>
        </w:rPr>
        <w:t>2025年度龙下风电场构筑物防雷装置安全检测项目</w:t>
      </w:r>
      <w:r>
        <w:rPr>
          <w:rFonts w:hint="eastAsia" w:ascii="Times New Roman" w:hAnsi="黑体" w:eastAsia="黑体" w:cs="Times New Roman"/>
          <w:spacing w:val="30"/>
          <w:kern w:val="0"/>
          <w:sz w:val="44"/>
          <w:szCs w:val="44"/>
          <w:highlight w:val="none"/>
        </w:rPr>
        <w:t>合同</w:t>
      </w:r>
    </w:p>
    <w:p>
      <w:pPr>
        <w:ind w:firstLine="602"/>
        <w:jc w:val="center"/>
        <w:rPr>
          <w:b/>
          <w:kern w:val="0"/>
          <w:sz w:val="30"/>
          <w:szCs w:val="30"/>
          <w:highlight w:val="yellow"/>
        </w:rPr>
      </w:pPr>
    </w:p>
    <w:p>
      <w:pPr>
        <w:ind w:firstLine="602"/>
        <w:jc w:val="center"/>
        <w:rPr>
          <w:b/>
          <w:kern w:val="0"/>
          <w:sz w:val="30"/>
          <w:szCs w:val="30"/>
          <w:highlight w:val="yellow"/>
        </w:rPr>
      </w:pPr>
    </w:p>
    <w:p>
      <w:pPr>
        <w:pStyle w:val="21"/>
        <w:rPr>
          <w:b/>
          <w:kern w:val="0"/>
          <w:sz w:val="30"/>
          <w:szCs w:val="30"/>
          <w:highlight w:val="yellow"/>
        </w:rPr>
      </w:pPr>
    </w:p>
    <w:p>
      <w:pPr>
        <w:ind w:firstLine="0" w:firstLineChars="0"/>
        <w:jc w:val="center"/>
        <w:rPr>
          <w:rFonts w:hint="default" w:eastAsia="宋体"/>
          <w:spacing w:val="30"/>
          <w:kern w:val="0"/>
          <w:sz w:val="30"/>
          <w:szCs w:val="30"/>
          <w:highlight w:val="none"/>
          <w:lang w:val="en-US" w:eastAsia="zh-CN"/>
        </w:rPr>
      </w:pPr>
      <w:r>
        <w:rPr>
          <w:rFonts w:hint="eastAsia"/>
          <w:b/>
          <w:kern w:val="0"/>
          <w:sz w:val="30"/>
          <w:szCs w:val="30"/>
          <w:highlight w:val="none"/>
        </w:rPr>
        <w:t>合同编号：</w:t>
      </w:r>
      <w:r>
        <w:rPr>
          <w:rFonts w:hint="eastAsia"/>
          <w:b/>
          <w:kern w:val="0"/>
          <w:sz w:val="30"/>
          <w:szCs w:val="30"/>
          <w:highlight w:val="none"/>
          <w:lang w:val="en-US" w:eastAsia="zh-CN"/>
        </w:rPr>
        <w:t>FNHX-JF2025-12</w:t>
      </w:r>
    </w:p>
    <w:p>
      <w:pPr>
        <w:ind w:firstLine="843"/>
        <w:jc w:val="center"/>
        <w:rPr>
          <w:b/>
          <w:spacing w:val="30"/>
          <w:kern w:val="0"/>
          <w:sz w:val="36"/>
          <w:szCs w:val="36"/>
          <w:highlight w:val="none"/>
        </w:rPr>
      </w:pPr>
    </w:p>
    <w:p>
      <w:pPr>
        <w:pStyle w:val="21"/>
        <w:rPr>
          <w:highlight w:val="none"/>
        </w:rPr>
      </w:pPr>
    </w:p>
    <w:p>
      <w:pPr>
        <w:pStyle w:val="21"/>
        <w:rPr>
          <w:highlight w:val="none"/>
        </w:rPr>
      </w:pPr>
    </w:p>
    <w:p>
      <w:pPr>
        <w:ind w:firstLine="480"/>
        <w:rPr>
          <w:highlight w:val="none"/>
        </w:rPr>
      </w:pPr>
    </w:p>
    <w:p>
      <w:pPr>
        <w:ind w:firstLine="480"/>
        <w:rPr>
          <w:highlight w:val="none"/>
        </w:rPr>
      </w:pPr>
    </w:p>
    <w:p>
      <w:pPr>
        <w:rPr>
          <w:highlight w:val="none"/>
        </w:rPr>
      </w:pPr>
    </w:p>
    <w:tbl>
      <w:tblPr>
        <w:tblStyle w:val="32"/>
        <w:tblW w:w="6840" w:type="dxa"/>
        <w:tblInd w:w="10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07"/>
        <w:gridCol w:w="5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07" w:type="dxa"/>
          </w:tcPr>
          <w:p>
            <w:pPr>
              <w:spacing w:beforeLines="50"/>
              <w:rPr>
                <w:rFonts w:ascii="Calibri" w:hAnsi="Calibri"/>
                <w:kern w:val="0"/>
                <w:sz w:val="30"/>
                <w:szCs w:val="30"/>
                <w:highlight w:val="none"/>
              </w:rPr>
            </w:pPr>
            <w:r>
              <w:rPr>
                <w:rFonts w:hint="eastAsia" w:ascii="Calibri" w:hAnsi="Calibri" w:eastAsia="黑体"/>
                <w:bCs/>
                <w:kern w:val="0"/>
                <w:sz w:val="30"/>
                <w:szCs w:val="30"/>
                <w:highlight w:val="none"/>
                <w:lang w:eastAsia="zh-CN"/>
              </w:rPr>
              <w:t>甲方</w:t>
            </w:r>
            <w:r>
              <w:rPr>
                <w:rFonts w:hint="eastAsia" w:ascii="Calibri" w:hAnsi="Calibri" w:eastAsia="黑体"/>
                <w:bCs/>
                <w:kern w:val="0"/>
                <w:sz w:val="30"/>
                <w:szCs w:val="30"/>
                <w:highlight w:val="none"/>
              </w:rPr>
              <w:t>：</w:t>
            </w:r>
          </w:p>
        </w:tc>
        <w:tc>
          <w:tcPr>
            <w:tcW w:w="5233" w:type="dxa"/>
          </w:tcPr>
          <w:p>
            <w:pPr>
              <w:spacing w:beforeLines="50"/>
              <w:rPr>
                <w:rFonts w:ascii="Calibri" w:hAnsi="Calibri"/>
                <w:kern w:val="0"/>
                <w:sz w:val="30"/>
                <w:szCs w:val="30"/>
                <w:highlight w:val="none"/>
              </w:rPr>
            </w:pPr>
            <w:r>
              <w:rPr>
                <w:rFonts w:hint="eastAsia" w:ascii="Calibri" w:hAnsi="Calibri" w:eastAsia="黑体"/>
                <w:bCs/>
                <w:kern w:val="0"/>
                <w:sz w:val="30"/>
                <w:szCs w:val="30"/>
                <w:highlight w:val="none"/>
              </w:rPr>
              <w:t>福建省福能海峡发电有限公司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07" w:type="dxa"/>
          </w:tcPr>
          <w:p>
            <w:pPr>
              <w:spacing w:beforeLines="50"/>
              <w:rPr>
                <w:rFonts w:ascii="Calibri" w:hAnsi="Calibri"/>
                <w:kern w:val="0"/>
                <w:sz w:val="30"/>
                <w:szCs w:val="30"/>
                <w:highlight w:val="none"/>
              </w:rPr>
            </w:pPr>
            <w:r>
              <w:rPr>
                <w:rFonts w:hint="eastAsia" w:ascii="Calibri" w:hAnsi="Calibri" w:eastAsia="黑体"/>
                <w:bCs/>
                <w:kern w:val="0"/>
                <w:sz w:val="30"/>
                <w:szCs w:val="30"/>
                <w:highlight w:val="none"/>
                <w:lang w:eastAsia="zh-CN"/>
              </w:rPr>
              <w:t>乙方</w:t>
            </w:r>
            <w:r>
              <w:rPr>
                <w:rFonts w:hint="eastAsia" w:ascii="Calibri" w:hAnsi="Calibri" w:eastAsia="黑体"/>
                <w:bCs/>
                <w:kern w:val="0"/>
                <w:sz w:val="30"/>
                <w:szCs w:val="30"/>
                <w:highlight w:val="none"/>
              </w:rPr>
              <w:t>：</w:t>
            </w:r>
          </w:p>
        </w:tc>
        <w:tc>
          <w:tcPr>
            <w:tcW w:w="5233" w:type="dxa"/>
          </w:tcPr>
          <w:p>
            <w:pPr>
              <w:spacing w:beforeLines="50"/>
              <w:rPr>
                <w:rFonts w:ascii="Calibri" w:hAnsi="Calibri"/>
                <w:kern w:val="0"/>
                <w:sz w:val="30"/>
                <w:szCs w:val="30"/>
                <w:highlight w:val="none"/>
              </w:rPr>
            </w:pPr>
          </w:p>
        </w:tc>
      </w:tr>
    </w:tbl>
    <w:p>
      <w:pPr>
        <w:spacing w:beforeLines="50"/>
        <w:ind w:firstLine="600"/>
        <w:jc w:val="center"/>
        <w:rPr>
          <w:rFonts w:eastAsia="黑体"/>
          <w:bCs/>
          <w:kern w:val="0"/>
          <w:sz w:val="30"/>
          <w:szCs w:val="30"/>
          <w:highlight w:val="none"/>
        </w:rPr>
      </w:pPr>
    </w:p>
    <w:p>
      <w:pPr>
        <w:pStyle w:val="21"/>
        <w:rPr>
          <w:highlight w:val="none"/>
          <w:lang w:val="en-US"/>
        </w:rPr>
      </w:pPr>
    </w:p>
    <w:p>
      <w:pPr>
        <w:pStyle w:val="21"/>
        <w:rPr>
          <w:highlight w:val="none"/>
          <w:lang w:val="en-US"/>
        </w:rPr>
      </w:pPr>
    </w:p>
    <w:p>
      <w:pPr>
        <w:pStyle w:val="6"/>
        <w:rPr>
          <w:lang w:val="en-US"/>
        </w:rPr>
      </w:pPr>
    </w:p>
    <w:p>
      <w:pPr>
        <w:pStyle w:val="21"/>
        <w:rPr>
          <w:highlight w:val="none"/>
          <w:lang w:val="en-US"/>
        </w:rPr>
      </w:pPr>
    </w:p>
    <w:p>
      <w:pPr>
        <w:numPr>
          <w:ilvl w:val="1"/>
          <w:numId w:val="0"/>
        </w:numPr>
        <w:adjustRightInd w:val="0"/>
        <w:snapToGrid w:val="0"/>
        <w:spacing w:beforeLines="25" w:afterLines="25" w:line="600" w:lineRule="exact"/>
        <w:jc w:val="center"/>
        <w:rPr>
          <w:rFonts w:eastAsia="黑体"/>
          <w:bCs/>
          <w:kern w:val="0"/>
          <w:sz w:val="30"/>
          <w:szCs w:val="30"/>
          <w:highlight w:val="none"/>
        </w:rPr>
      </w:pPr>
      <w:r>
        <w:rPr>
          <w:rFonts w:hint="eastAsia" w:eastAsia="黑体"/>
          <w:bCs/>
          <w:kern w:val="0"/>
          <w:sz w:val="30"/>
          <w:szCs w:val="30"/>
          <w:highlight w:val="none"/>
        </w:rPr>
        <w:t>二〇二</w:t>
      </w:r>
      <w:r>
        <w:rPr>
          <w:rFonts w:hint="eastAsia" w:eastAsia="黑体"/>
          <w:bCs/>
          <w:kern w:val="0"/>
          <w:sz w:val="30"/>
          <w:szCs w:val="30"/>
          <w:highlight w:val="none"/>
          <w:lang w:eastAsia="zh-CN"/>
        </w:rPr>
        <w:t>五</w:t>
      </w:r>
      <w:r>
        <w:rPr>
          <w:rFonts w:hint="eastAsia" w:eastAsia="黑体"/>
          <w:bCs/>
          <w:kern w:val="0"/>
          <w:sz w:val="30"/>
          <w:szCs w:val="30"/>
          <w:highlight w:val="none"/>
        </w:rPr>
        <w:t>年</w:t>
      </w:r>
      <w:r>
        <w:rPr>
          <w:rFonts w:hint="eastAsia" w:eastAsia="黑体"/>
          <w:bCs/>
          <w:kern w:val="0"/>
          <w:sz w:val="30"/>
          <w:szCs w:val="30"/>
          <w:highlight w:val="none"/>
          <w:lang w:val="en-US" w:eastAsia="zh-CN"/>
        </w:rPr>
        <w:t>五</w:t>
      </w:r>
      <w:r>
        <w:rPr>
          <w:rFonts w:hint="eastAsia" w:eastAsia="黑体"/>
          <w:bCs/>
          <w:kern w:val="0"/>
          <w:sz w:val="30"/>
          <w:szCs w:val="30"/>
          <w:highlight w:val="none"/>
        </w:rPr>
        <w:t>月</w:t>
      </w:r>
    </w:p>
    <w:p>
      <w:pPr>
        <w:spacing w:line="560" w:lineRule="exact"/>
        <w:ind w:firstLine="420"/>
        <w:rPr>
          <w:rFonts w:hint="eastAsia" w:eastAsia="宋体" w:cs="Times New Roman"/>
          <w:b w:val="0"/>
          <w:sz w:val="24"/>
          <w:szCs w:val="24"/>
          <w:highlight w:val="none"/>
          <w:lang w:val="en-US" w:eastAsia="zh-CN"/>
        </w:rPr>
      </w:pPr>
    </w:p>
    <w:p>
      <w:pPr>
        <w:spacing w:line="560" w:lineRule="exact"/>
        <w:ind w:firstLine="420"/>
        <w:rPr>
          <w:rFonts w:hint="eastAsia" w:eastAsia="宋体" w:cs="Times New Roman"/>
          <w:b w:val="0"/>
          <w:sz w:val="24"/>
          <w:szCs w:val="24"/>
          <w:highlight w:val="none"/>
          <w:lang w:val="en-US" w:eastAsia="zh-CN"/>
        </w:rPr>
      </w:pPr>
    </w:p>
    <w:p>
      <w:pPr>
        <w:numPr>
          <w:ilvl w:val="0"/>
          <w:numId w:val="0"/>
        </w:numPr>
        <w:spacing w:line="360" w:lineRule="auto"/>
        <w:ind w:firstLine="560" w:firstLineChars="200"/>
        <w:jc w:val="both"/>
        <w:outlineLvl w:val="1"/>
        <w:rPr>
          <w:rFonts w:hint="eastAsia" w:ascii="仿宋" w:hAnsi="仿宋" w:eastAsia="仿宋"/>
          <w:snapToGrid w:val="0"/>
          <w:kern w:val="0"/>
          <w:sz w:val="28"/>
        </w:rPr>
      </w:pPr>
      <w:bookmarkStart w:id="10" w:name="_Toc21429"/>
      <w:r>
        <w:rPr>
          <w:rFonts w:hint="eastAsia" w:ascii="仿宋" w:hAnsi="仿宋" w:eastAsia="仿宋"/>
          <w:snapToGrid w:val="0"/>
          <w:kern w:val="0"/>
          <w:sz w:val="28"/>
        </w:rPr>
        <w:t>鉴于本合同为甲方委托乙方就</w:t>
      </w:r>
      <w:permStart w:id="0" w:edGrp="everyone"/>
      <w:r>
        <w:rPr>
          <w:rFonts w:hint="eastAsia" w:ascii="仿宋" w:hAnsi="仿宋" w:eastAsia="仿宋"/>
          <w:snapToGrid w:val="0"/>
          <w:kern w:val="0"/>
          <w:sz w:val="28"/>
          <w:highlight w:val="none"/>
        </w:rPr>
        <w:t xml:space="preserve"> </w:t>
      </w:r>
      <w:r>
        <w:rPr>
          <w:rFonts w:hint="eastAsia" w:ascii="仿宋" w:hAnsi="仿宋" w:eastAsia="仿宋"/>
          <w:snapToGrid w:val="0"/>
          <w:kern w:val="0"/>
          <w:sz w:val="28"/>
          <w:highlight w:val="none"/>
          <w:lang w:eastAsia="zh-CN"/>
        </w:rPr>
        <w:t>2025年度龙下风电场构筑物防雷装置安全检测项目</w:t>
      </w:r>
      <w:permEnd w:id="0"/>
      <w:r>
        <w:rPr>
          <w:rFonts w:hint="eastAsia" w:ascii="仿宋" w:hAnsi="仿宋" w:eastAsia="仿宋"/>
          <w:snapToGrid w:val="0"/>
          <w:kern w:val="0"/>
          <w:sz w:val="28"/>
        </w:rPr>
        <w:t>进行的专项技术服务，并支付相应的技术服务报酬。为明确各自的权利和义务，双方经过平等协商，根据《中华人民共和国民法典》等有关法律法规的规定，订立本合同。</w:t>
      </w:r>
      <w:bookmarkEnd w:id="10"/>
    </w:p>
    <w:p>
      <w:pPr>
        <w:widowControl/>
        <w:wordWrap w:val="0"/>
        <w:spacing w:line="480" w:lineRule="exact"/>
        <w:ind w:firstLine="548" w:firstLineChars="196"/>
        <w:outlineLvl w:val="1"/>
        <w:rPr>
          <w:rFonts w:hint="eastAsia" w:ascii="黑体" w:eastAsia="黑体"/>
          <w:snapToGrid w:val="0"/>
          <w:kern w:val="0"/>
          <w:sz w:val="28"/>
        </w:rPr>
      </w:pPr>
      <w:bookmarkStart w:id="11" w:name="_Toc363053358"/>
      <w:bookmarkStart w:id="12" w:name="_Toc374455082"/>
      <w:bookmarkStart w:id="13" w:name="_Toc5248"/>
      <w:r>
        <w:rPr>
          <w:rFonts w:hint="eastAsia" w:ascii="黑体" w:eastAsia="黑体"/>
          <w:snapToGrid w:val="0"/>
          <w:kern w:val="0"/>
          <w:sz w:val="28"/>
        </w:rPr>
        <w:t>1.技术服务项目概要</w:t>
      </w:r>
      <w:bookmarkEnd w:id="11"/>
      <w:bookmarkEnd w:id="12"/>
      <w:bookmarkEnd w:id="13"/>
      <w:r>
        <w:rPr>
          <w:rFonts w:hint="eastAsia" w:ascii="黑体" w:eastAsia="黑体"/>
          <w:snapToGrid w:val="0"/>
          <w:kern w:val="0"/>
          <w:sz w:val="28"/>
        </w:rPr>
        <w:t xml:space="preserve"> </w:t>
      </w:r>
    </w:p>
    <w:p>
      <w:pPr>
        <w:numPr>
          <w:ilvl w:val="0"/>
          <w:numId w:val="0"/>
        </w:numPr>
        <w:spacing w:line="360" w:lineRule="auto"/>
        <w:ind w:firstLine="560" w:firstLineChars="200"/>
        <w:jc w:val="left"/>
        <w:outlineLvl w:val="1"/>
        <w:rPr>
          <w:rFonts w:hint="eastAsia" w:ascii="仿宋" w:hAnsi="仿宋" w:eastAsia="仿宋"/>
          <w:snapToGrid w:val="0"/>
          <w:kern w:val="0"/>
          <w:sz w:val="28"/>
          <w:u w:val="single"/>
        </w:rPr>
      </w:pPr>
      <w:bookmarkStart w:id="14" w:name="_Toc30261"/>
      <w:permStart w:id="1" w:edGrp="everyone"/>
      <w:r>
        <w:rPr>
          <w:rFonts w:hint="eastAsia" w:ascii="仿宋" w:hAnsi="仿宋" w:eastAsia="仿宋"/>
          <w:snapToGrid w:val="0"/>
          <w:kern w:val="0"/>
          <w:sz w:val="28"/>
        </w:rPr>
        <w:t>1.1技术服务的目标：</w:t>
      </w:r>
      <w:r>
        <w:rPr>
          <w:rFonts w:hint="eastAsia" w:ascii="仿宋" w:hAnsi="仿宋" w:eastAsia="仿宋"/>
          <w:snapToGrid w:val="0"/>
          <w:kern w:val="0"/>
          <w:sz w:val="28"/>
          <w:u w:val="single"/>
        </w:rPr>
        <w:t>龙下风电场防雷装置安全性检测</w:t>
      </w:r>
      <w:r>
        <w:rPr>
          <w:rFonts w:hint="eastAsia" w:ascii="仿宋" w:hAnsi="仿宋" w:eastAsia="仿宋"/>
          <w:snapToGrid w:val="0"/>
          <w:kern w:val="0"/>
          <w:sz w:val="28"/>
          <w:u w:val="single"/>
          <w:lang w:val="en-US" w:eastAsia="zh-CN"/>
        </w:rPr>
        <w:t>服务</w:t>
      </w:r>
      <w:r>
        <w:rPr>
          <w:rFonts w:hint="eastAsia" w:ascii="仿宋" w:hAnsi="仿宋" w:eastAsia="仿宋"/>
          <w:snapToGrid w:val="0"/>
          <w:kern w:val="0"/>
          <w:sz w:val="28"/>
        </w:rPr>
        <w:t>。</w:t>
      </w:r>
      <w:bookmarkEnd w:id="14"/>
    </w:p>
    <w:p>
      <w:pPr>
        <w:widowControl/>
        <w:wordWrap w:val="0"/>
        <w:spacing w:line="480" w:lineRule="exact"/>
        <w:ind w:firstLine="560" w:firstLineChars="200"/>
        <w:rPr>
          <w:rFonts w:hint="eastAsia" w:ascii="仿宋" w:hAnsi="仿宋" w:eastAsia="仿宋" w:cs="Times New Roman"/>
          <w:snapToGrid w:val="0"/>
          <w:kern w:val="0"/>
          <w:sz w:val="28"/>
          <w:u w:val="single"/>
        </w:rPr>
      </w:pPr>
      <w:r>
        <w:rPr>
          <w:rFonts w:hint="eastAsia" w:ascii="仿宋" w:hAnsi="仿宋" w:eastAsia="仿宋"/>
          <w:snapToGrid w:val="0"/>
          <w:kern w:val="0"/>
          <w:sz w:val="28"/>
        </w:rPr>
        <w:t>1.2技术服务的内容：</w:t>
      </w:r>
      <w:r>
        <w:rPr>
          <w:rFonts w:hint="eastAsia" w:ascii="仿宋" w:hAnsi="仿宋" w:eastAsia="仿宋"/>
          <w:snapToGrid w:val="0"/>
          <w:kern w:val="0"/>
          <w:sz w:val="28"/>
          <w:u w:val="single"/>
        </w:rPr>
        <w:t>进行福建省福能海峡发电有限公司生产指挥大楼、龙下风电场陆上集控站、海上升压站等构筑物</w:t>
      </w:r>
      <w:r>
        <w:rPr>
          <w:rFonts w:hint="eastAsia" w:ascii="仿宋" w:hAnsi="仿宋" w:eastAsia="仿宋" w:cs="Times New Roman"/>
          <w:snapToGrid w:val="0"/>
          <w:kern w:val="0"/>
          <w:sz w:val="28"/>
          <w:u w:val="single"/>
        </w:rPr>
        <w:t>的防雷装置接地网、接地装置现场安全性能检测工作。</w:t>
      </w:r>
    </w:p>
    <w:p>
      <w:pPr>
        <w:widowControl/>
        <w:wordWrap w:val="0"/>
        <w:spacing w:line="480" w:lineRule="exact"/>
        <w:ind w:firstLine="560" w:firstLineChars="200"/>
        <w:rPr>
          <w:rFonts w:hint="eastAsia" w:ascii="仿宋" w:hAnsi="仿宋" w:eastAsia="仿宋" w:cs="Times New Roman"/>
          <w:snapToGrid w:val="0"/>
          <w:kern w:val="0"/>
          <w:sz w:val="28"/>
          <w:u w:val="single"/>
          <w:lang w:val="en-US" w:eastAsia="zh-CN"/>
        </w:rPr>
      </w:pPr>
      <w:r>
        <w:rPr>
          <w:rFonts w:hint="eastAsia" w:ascii="仿宋" w:hAnsi="仿宋" w:eastAsia="仿宋" w:cs="Times New Roman"/>
          <w:snapToGrid w:val="0"/>
          <w:kern w:val="0"/>
          <w:sz w:val="28"/>
          <w:u w:val="single"/>
          <w:lang w:val="en-US" w:eastAsia="zh-CN"/>
        </w:rPr>
        <w:t>（1）生产指挥大楼建筑物及信息机房检测；</w:t>
      </w:r>
    </w:p>
    <w:p>
      <w:pPr>
        <w:widowControl/>
        <w:wordWrap w:val="0"/>
        <w:spacing w:line="480" w:lineRule="exact"/>
        <w:ind w:firstLine="560" w:firstLineChars="200"/>
        <w:rPr>
          <w:rFonts w:hint="eastAsia" w:ascii="仿宋" w:hAnsi="仿宋" w:eastAsia="仿宋" w:cs="Times New Roman"/>
          <w:snapToGrid w:val="0"/>
          <w:kern w:val="0"/>
          <w:sz w:val="28"/>
          <w:u w:val="single"/>
        </w:rPr>
      </w:pPr>
      <w:r>
        <w:rPr>
          <w:rFonts w:hint="eastAsia" w:ascii="仿宋" w:hAnsi="仿宋" w:eastAsia="仿宋" w:cs="Times New Roman"/>
          <w:snapToGrid w:val="0"/>
          <w:kern w:val="0"/>
          <w:sz w:val="28"/>
          <w:u w:val="single"/>
          <w:lang w:val="en-US" w:eastAsia="zh-CN"/>
        </w:rPr>
        <w:t>（2）220kV陆上集控站建筑物检测，包含主控楼、侯班楼、GIS楼、配电装置楼、消防泵房、门卫室、光伏棚、主控楼及候班楼楼顶光伏建筑；</w:t>
      </w:r>
    </w:p>
    <w:p>
      <w:pPr>
        <w:widowControl/>
        <w:wordWrap w:val="0"/>
        <w:spacing w:line="480" w:lineRule="exact"/>
        <w:ind w:firstLine="560" w:firstLineChars="200"/>
        <w:rPr>
          <w:rFonts w:hint="eastAsia" w:ascii="仿宋" w:hAnsi="仿宋" w:eastAsia="仿宋" w:cs="Times New Roman"/>
          <w:snapToGrid w:val="0"/>
          <w:kern w:val="0"/>
          <w:sz w:val="28"/>
          <w:u w:val="single"/>
        </w:rPr>
      </w:pPr>
      <w:r>
        <w:rPr>
          <w:rFonts w:hint="eastAsia" w:ascii="仿宋" w:hAnsi="仿宋" w:eastAsia="仿宋" w:cs="Times New Roman"/>
          <w:snapToGrid w:val="0"/>
          <w:kern w:val="0"/>
          <w:sz w:val="28"/>
          <w:u w:val="single"/>
          <w:lang w:val="en-US" w:eastAsia="zh-CN"/>
        </w:rPr>
        <w:t>（3）22</w:t>
      </w:r>
      <w:r>
        <w:rPr>
          <w:rFonts w:hint="eastAsia" w:ascii="仿宋" w:hAnsi="仿宋" w:eastAsia="仿宋" w:cs="Times New Roman"/>
          <w:snapToGrid w:val="0"/>
          <w:kern w:val="0"/>
          <w:sz w:val="28"/>
          <w:u w:val="single"/>
        </w:rPr>
        <w:t>0kV</w:t>
      </w:r>
      <w:r>
        <w:rPr>
          <w:rFonts w:hint="eastAsia" w:ascii="仿宋" w:hAnsi="仿宋" w:eastAsia="仿宋" w:cs="Times New Roman"/>
          <w:snapToGrid w:val="0"/>
          <w:kern w:val="0"/>
          <w:sz w:val="28"/>
          <w:u w:val="single"/>
          <w:lang w:val="en-US" w:eastAsia="zh-CN"/>
        </w:rPr>
        <w:t>陆上集控站建筑物及设备的</w:t>
      </w:r>
      <w:r>
        <w:rPr>
          <w:rFonts w:hint="eastAsia" w:ascii="仿宋" w:hAnsi="仿宋" w:eastAsia="仿宋" w:cs="Times New Roman"/>
          <w:snapToGrid w:val="0"/>
          <w:kern w:val="0"/>
          <w:sz w:val="28"/>
          <w:u w:val="single"/>
        </w:rPr>
        <w:t>设备接地网、避雷针、设备防护装置等；</w:t>
      </w:r>
    </w:p>
    <w:p>
      <w:pPr>
        <w:widowControl/>
        <w:wordWrap w:val="0"/>
        <w:spacing w:line="480" w:lineRule="exact"/>
        <w:ind w:firstLine="560" w:firstLineChars="200"/>
        <w:rPr>
          <w:rFonts w:hint="eastAsia" w:ascii="仿宋" w:hAnsi="仿宋" w:eastAsia="仿宋" w:cs="Times New Roman"/>
          <w:snapToGrid w:val="0"/>
          <w:kern w:val="0"/>
          <w:sz w:val="28"/>
          <w:u w:val="single"/>
        </w:rPr>
      </w:pPr>
      <w:r>
        <w:rPr>
          <w:rFonts w:hint="eastAsia" w:ascii="仿宋" w:hAnsi="仿宋" w:eastAsia="仿宋" w:cs="Times New Roman"/>
          <w:snapToGrid w:val="0"/>
          <w:kern w:val="0"/>
          <w:sz w:val="28"/>
          <w:u w:val="single"/>
          <w:lang w:val="en-US" w:eastAsia="zh-CN"/>
        </w:rPr>
        <w:t>（4）22</w:t>
      </w:r>
      <w:r>
        <w:rPr>
          <w:rFonts w:hint="eastAsia" w:ascii="仿宋" w:hAnsi="仿宋" w:eastAsia="仿宋" w:cs="Times New Roman"/>
          <w:snapToGrid w:val="0"/>
          <w:kern w:val="0"/>
          <w:sz w:val="28"/>
          <w:u w:val="single"/>
        </w:rPr>
        <w:t>0kV</w:t>
      </w:r>
      <w:r>
        <w:rPr>
          <w:rFonts w:hint="eastAsia" w:ascii="仿宋" w:hAnsi="仿宋" w:eastAsia="仿宋" w:cs="Times New Roman"/>
          <w:snapToGrid w:val="0"/>
          <w:kern w:val="0"/>
          <w:sz w:val="28"/>
          <w:u w:val="single"/>
          <w:lang w:val="en-US" w:eastAsia="zh-CN"/>
        </w:rPr>
        <w:t>海上升压站构筑物及设备的</w:t>
      </w:r>
      <w:r>
        <w:rPr>
          <w:rFonts w:hint="eastAsia" w:ascii="仿宋" w:hAnsi="仿宋" w:eastAsia="仿宋" w:cs="Times New Roman"/>
          <w:snapToGrid w:val="0"/>
          <w:kern w:val="0"/>
          <w:sz w:val="28"/>
          <w:u w:val="single"/>
        </w:rPr>
        <w:t>设备接地网、避雷针、设备防护装置等；</w:t>
      </w:r>
    </w:p>
    <w:p>
      <w:pPr>
        <w:widowControl/>
        <w:wordWrap w:val="0"/>
        <w:spacing w:line="480" w:lineRule="exact"/>
        <w:ind w:firstLine="560" w:firstLineChars="200"/>
        <w:rPr>
          <w:rFonts w:hint="eastAsia" w:ascii="仿宋" w:hAnsi="仿宋" w:eastAsia="仿宋" w:cs="Times New Roman"/>
          <w:snapToGrid w:val="0"/>
          <w:kern w:val="0"/>
          <w:sz w:val="28"/>
          <w:u w:val="single"/>
        </w:rPr>
      </w:pPr>
      <w:r>
        <w:rPr>
          <w:rFonts w:hint="eastAsia" w:ascii="仿宋" w:hAnsi="仿宋" w:eastAsia="仿宋" w:cs="Times New Roman"/>
          <w:snapToGrid w:val="0"/>
          <w:kern w:val="0"/>
          <w:sz w:val="28"/>
          <w:u w:val="single"/>
          <w:lang w:eastAsia="zh-CN"/>
        </w:rPr>
        <w:t>（</w:t>
      </w:r>
      <w:r>
        <w:rPr>
          <w:rFonts w:hint="eastAsia" w:ascii="仿宋" w:hAnsi="仿宋" w:eastAsia="仿宋" w:cs="Times New Roman"/>
          <w:snapToGrid w:val="0"/>
          <w:kern w:val="0"/>
          <w:sz w:val="28"/>
          <w:u w:val="single"/>
          <w:lang w:val="en-US" w:eastAsia="zh-CN"/>
        </w:rPr>
        <w:t>6</w:t>
      </w:r>
      <w:r>
        <w:rPr>
          <w:rFonts w:hint="eastAsia" w:ascii="仿宋" w:hAnsi="仿宋" w:eastAsia="仿宋" w:cs="Times New Roman"/>
          <w:snapToGrid w:val="0"/>
          <w:kern w:val="0"/>
          <w:sz w:val="28"/>
          <w:u w:val="single"/>
          <w:lang w:eastAsia="zh-CN"/>
        </w:rPr>
        <w:t>）</w:t>
      </w:r>
      <w:r>
        <w:rPr>
          <w:rFonts w:hint="eastAsia" w:ascii="仿宋" w:hAnsi="仿宋" w:eastAsia="仿宋" w:cs="Times New Roman"/>
          <w:snapToGrid w:val="0"/>
          <w:kern w:val="0"/>
          <w:sz w:val="28"/>
          <w:u w:val="single"/>
        </w:rPr>
        <w:t>对检测发现的问题提出整改方案</w:t>
      </w:r>
      <w:r>
        <w:rPr>
          <w:rFonts w:hint="eastAsia" w:ascii="仿宋" w:hAnsi="仿宋" w:eastAsia="仿宋" w:cs="Times New Roman"/>
          <w:snapToGrid w:val="0"/>
          <w:color w:val="auto"/>
          <w:kern w:val="0"/>
          <w:sz w:val="28"/>
          <w:highlight w:val="none"/>
          <w:u w:val="single"/>
        </w:rPr>
        <w:t>并完成复测。</w:t>
      </w:r>
    </w:p>
    <w:p>
      <w:pPr>
        <w:widowControl/>
        <w:wordWrap w:val="0"/>
        <w:spacing w:line="480" w:lineRule="exact"/>
        <w:ind w:firstLine="560" w:firstLineChars="200"/>
        <w:rPr>
          <w:rFonts w:hint="eastAsia" w:ascii="仿宋" w:hAnsi="仿宋" w:eastAsia="仿宋"/>
          <w:snapToGrid w:val="0"/>
          <w:kern w:val="0"/>
          <w:sz w:val="28"/>
          <w:highlight w:val="yellow"/>
          <w:u w:val="single"/>
        </w:rPr>
      </w:pPr>
      <w:r>
        <w:rPr>
          <w:rFonts w:hint="eastAsia" w:ascii="仿宋" w:hAnsi="仿宋" w:eastAsia="仿宋"/>
          <w:snapToGrid w:val="0"/>
          <w:kern w:val="0"/>
          <w:sz w:val="28"/>
          <w:u w:val="single"/>
        </w:rPr>
        <w:t>具体要求和内容详见技术规范书。</w:t>
      </w:r>
    </w:p>
    <w:p>
      <w:pPr>
        <w:widowControl/>
        <w:wordWrap w:val="0"/>
        <w:spacing w:line="480" w:lineRule="exact"/>
        <w:ind w:firstLine="560" w:firstLineChars="200"/>
        <w:rPr>
          <w:rFonts w:hint="eastAsia" w:ascii="仿宋_GB2312" w:eastAsia="仿宋_GB2312"/>
          <w:snapToGrid w:val="0"/>
          <w:kern w:val="0"/>
          <w:sz w:val="28"/>
        </w:rPr>
      </w:pPr>
      <w:r>
        <w:rPr>
          <w:rFonts w:hint="eastAsia" w:ascii="仿宋" w:hAnsi="仿宋" w:eastAsia="仿宋"/>
          <w:snapToGrid w:val="0"/>
          <w:kern w:val="0"/>
          <w:sz w:val="28"/>
        </w:rPr>
        <w:t>1.3技术服务的方式：</w:t>
      </w:r>
      <w:r>
        <w:rPr>
          <w:rFonts w:hint="eastAsia" w:ascii="仿宋" w:hAnsi="仿宋" w:eastAsia="仿宋"/>
          <w:snapToGrid w:val="0"/>
          <w:kern w:val="0"/>
          <w:sz w:val="28"/>
          <w:u w:val="single"/>
        </w:rPr>
        <w:t xml:space="preserve"> 现场服务 </w:t>
      </w:r>
      <w:r>
        <w:rPr>
          <w:rFonts w:hint="eastAsia" w:ascii="仿宋" w:hAnsi="仿宋" w:eastAsia="仿宋"/>
          <w:snapToGrid w:val="0"/>
          <w:kern w:val="0"/>
          <w:sz w:val="28"/>
        </w:rPr>
        <w:t>。</w:t>
      </w:r>
    </w:p>
    <w:permEnd w:id="1"/>
    <w:p>
      <w:pPr>
        <w:widowControl/>
        <w:wordWrap w:val="0"/>
        <w:spacing w:line="480" w:lineRule="exact"/>
        <w:ind w:firstLine="548" w:firstLineChars="196"/>
        <w:outlineLvl w:val="1"/>
        <w:rPr>
          <w:rFonts w:hint="eastAsia" w:ascii="黑体" w:eastAsia="黑体"/>
          <w:snapToGrid w:val="0"/>
          <w:kern w:val="0"/>
          <w:sz w:val="28"/>
        </w:rPr>
      </w:pPr>
      <w:bookmarkStart w:id="15" w:name="_Toc374455083"/>
      <w:bookmarkStart w:id="16" w:name="_Toc363053359"/>
      <w:bookmarkStart w:id="17" w:name="_Toc197"/>
      <w:r>
        <w:rPr>
          <w:rFonts w:hint="eastAsia" w:ascii="黑体" w:eastAsia="黑体"/>
          <w:snapToGrid w:val="0"/>
          <w:kern w:val="0"/>
          <w:sz w:val="28"/>
        </w:rPr>
        <w:t>2.技术服务具体要求</w:t>
      </w:r>
      <w:bookmarkEnd w:id="15"/>
      <w:bookmarkEnd w:id="16"/>
      <w:bookmarkEnd w:id="17"/>
    </w:p>
    <w:p>
      <w:pPr>
        <w:widowControl/>
        <w:wordWrap w:val="0"/>
        <w:spacing w:line="480" w:lineRule="exact"/>
        <w:ind w:firstLine="560" w:firstLineChars="200"/>
        <w:rPr>
          <w:rFonts w:hint="eastAsia" w:ascii="仿宋" w:hAnsi="仿宋" w:eastAsia="仿宋"/>
          <w:snapToGrid w:val="0"/>
          <w:kern w:val="0"/>
          <w:sz w:val="28"/>
          <w:u w:val="single"/>
        </w:rPr>
      </w:pPr>
      <w:permStart w:id="2" w:edGrp="everyone"/>
      <w:r>
        <w:rPr>
          <w:rFonts w:hint="eastAsia" w:ascii="仿宋" w:hAnsi="仿宋" w:eastAsia="仿宋"/>
          <w:snapToGrid w:val="0"/>
          <w:kern w:val="0"/>
          <w:sz w:val="28"/>
        </w:rPr>
        <w:t>2.1技术服务地点：</w:t>
      </w:r>
      <w:r>
        <w:rPr>
          <w:rFonts w:hint="eastAsia" w:ascii="仿宋" w:hAnsi="仿宋" w:eastAsia="仿宋"/>
          <w:snapToGrid w:val="0"/>
          <w:kern w:val="0"/>
          <w:sz w:val="28"/>
          <w:u w:val="single"/>
        </w:rPr>
        <w:t xml:space="preserve">  福州市长乐</w:t>
      </w:r>
      <w:r>
        <w:rPr>
          <w:rFonts w:hint="eastAsia" w:ascii="仿宋" w:hAnsi="仿宋" w:eastAsia="仿宋"/>
          <w:snapToGrid w:val="0"/>
          <w:kern w:val="0"/>
          <w:sz w:val="28"/>
          <w:u w:val="single"/>
          <w:lang w:val="en-US" w:eastAsia="zh-CN"/>
        </w:rPr>
        <w:t>区</w:t>
      </w:r>
      <w:r>
        <w:rPr>
          <w:rFonts w:hint="eastAsia" w:ascii="仿宋" w:hAnsi="仿宋" w:eastAsia="仿宋"/>
          <w:snapToGrid w:val="0"/>
          <w:kern w:val="0"/>
          <w:sz w:val="28"/>
          <w:u w:val="single"/>
        </w:rPr>
        <w:t xml:space="preserve">       </w:t>
      </w:r>
      <w:r>
        <w:rPr>
          <w:rFonts w:hint="eastAsia" w:ascii="仿宋" w:hAnsi="仿宋" w:eastAsia="仿宋"/>
          <w:snapToGrid w:val="0"/>
          <w:kern w:val="0"/>
          <w:sz w:val="28"/>
        </w:rPr>
        <w:t>。</w:t>
      </w:r>
    </w:p>
    <w:p>
      <w:pPr>
        <w:widowControl/>
        <w:wordWrap w:val="0"/>
        <w:spacing w:line="480" w:lineRule="exact"/>
        <w:ind w:firstLine="560" w:firstLineChars="200"/>
        <w:rPr>
          <w:rFonts w:hint="eastAsia" w:ascii="仿宋" w:hAnsi="仿宋" w:eastAsia="仿宋"/>
          <w:snapToGrid w:val="0"/>
          <w:kern w:val="0"/>
          <w:sz w:val="28"/>
          <w:u w:val="single"/>
        </w:rPr>
      </w:pPr>
      <w:r>
        <w:rPr>
          <w:rFonts w:hint="eastAsia" w:ascii="仿宋" w:hAnsi="仿宋" w:eastAsia="仿宋"/>
          <w:snapToGrid w:val="0"/>
          <w:kern w:val="0"/>
          <w:sz w:val="28"/>
        </w:rPr>
        <w:t>2.2技术服务期限：</w:t>
      </w:r>
      <w:r>
        <w:rPr>
          <w:rFonts w:hint="eastAsia" w:ascii="仿宋" w:hAnsi="仿宋" w:eastAsia="仿宋"/>
          <w:snapToGrid w:val="0"/>
          <w:kern w:val="0"/>
          <w:sz w:val="28"/>
          <w:u w:val="single"/>
        </w:rPr>
        <w:t xml:space="preserve"> 从合同签订成立生效之日起</w:t>
      </w:r>
      <w:r>
        <w:rPr>
          <w:rFonts w:hint="eastAsia" w:ascii="仿宋" w:hAnsi="仿宋" w:eastAsia="仿宋"/>
          <w:snapToGrid w:val="0"/>
          <w:kern w:val="0"/>
          <w:sz w:val="28"/>
          <w:u w:val="single"/>
          <w:lang w:val="en-US" w:eastAsia="zh-CN"/>
        </w:rPr>
        <w:t>60</w:t>
      </w:r>
      <w:r>
        <w:rPr>
          <w:rFonts w:hint="eastAsia" w:ascii="仿宋" w:hAnsi="仿宋" w:eastAsia="仿宋"/>
          <w:snapToGrid w:val="0"/>
          <w:kern w:val="0"/>
          <w:sz w:val="28"/>
          <w:u w:val="single"/>
        </w:rPr>
        <w:t>天内</w:t>
      </w:r>
      <w:r>
        <w:rPr>
          <w:rFonts w:hint="eastAsia" w:ascii="仿宋" w:hAnsi="仿宋" w:eastAsia="仿宋"/>
          <w:snapToGrid w:val="0"/>
          <w:kern w:val="0"/>
          <w:sz w:val="28"/>
          <w:u w:val="single"/>
          <w:lang w:eastAsia="zh-CN"/>
        </w:rPr>
        <w:t>完成</w:t>
      </w:r>
      <w:r>
        <w:rPr>
          <w:rFonts w:hint="eastAsia" w:ascii="仿宋" w:hAnsi="仿宋" w:eastAsia="仿宋"/>
          <w:snapToGrid w:val="0"/>
          <w:kern w:val="0"/>
          <w:sz w:val="28"/>
        </w:rPr>
        <w:t>。</w:t>
      </w:r>
    </w:p>
    <w:p>
      <w:pPr>
        <w:widowControl/>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2.3技术服务进度：</w:t>
      </w:r>
      <w:r>
        <w:rPr>
          <w:rFonts w:hint="eastAsia" w:ascii="仿宋" w:hAnsi="仿宋" w:eastAsia="仿宋"/>
          <w:snapToGrid w:val="0"/>
          <w:kern w:val="0"/>
          <w:sz w:val="28"/>
          <w:u w:val="single"/>
        </w:rPr>
        <w:t xml:space="preserve"> 根据甲方提出的进度要求及时提供服务  </w:t>
      </w:r>
      <w:r>
        <w:rPr>
          <w:rFonts w:hint="eastAsia" w:ascii="仿宋" w:hAnsi="仿宋" w:eastAsia="仿宋"/>
          <w:snapToGrid w:val="0"/>
          <w:kern w:val="0"/>
          <w:sz w:val="28"/>
        </w:rPr>
        <w:t>。</w:t>
      </w:r>
    </w:p>
    <w:p>
      <w:pPr>
        <w:widowControl/>
        <w:wordWrap w:val="0"/>
        <w:spacing w:line="480" w:lineRule="exact"/>
        <w:ind w:firstLine="560"/>
        <w:rPr>
          <w:rFonts w:hint="eastAsia" w:ascii="仿宋" w:hAnsi="仿宋" w:eastAsia="仿宋"/>
          <w:snapToGrid w:val="0"/>
          <w:kern w:val="0"/>
          <w:sz w:val="28"/>
          <w:u w:val="single"/>
        </w:rPr>
      </w:pPr>
      <w:r>
        <w:rPr>
          <w:rFonts w:hint="eastAsia" w:ascii="仿宋" w:hAnsi="仿宋" w:eastAsia="仿宋"/>
          <w:snapToGrid w:val="0"/>
          <w:kern w:val="0"/>
          <w:sz w:val="28"/>
        </w:rPr>
        <w:t>2.4技术服务质量要求：</w:t>
      </w:r>
      <w:r>
        <w:rPr>
          <w:rFonts w:hint="eastAsia" w:ascii="仿宋" w:hAnsi="仿宋" w:eastAsia="仿宋"/>
          <w:snapToGrid w:val="0"/>
          <w:kern w:val="0"/>
          <w:sz w:val="28"/>
          <w:u w:val="single"/>
        </w:rPr>
        <w:t xml:space="preserve"> 完成</w:t>
      </w:r>
      <w:r>
        <w:rPr>
          <w:rFonts w:hint="eastAsia" w:ascii="仿宋" w:hAnsi="仿宋" w:eastAsia="仿宋"/>
          <w:snapToGrid w:val="0"/>
          <w:kern w:val="0"/>
          <w:sz w:val="28"/>
          <w:highlight w:val="none"/>
          <w:u w:val="single"/>
        </w:rPr>
        <w:t>龙下风电场防雷装置安全性检测</w:t>
      </w:r>
      <w:r>
        <w:rPr>
          <w:rFonts w:hint="eastAsia" w:ascii="仿宋" w:hAnsi="仿宋" w:eastAsia="仿宋"/>
          <w:snapToGrid w:val="0"/>
          <w:kern w:val="0"/>
          <w:sz w:val="28"/>
          <w:highlight w:val="none"/>
          <w:u w:val="single"/>
          <w:lang w:val="en-US" w:eastAsia="zh-CN"/>
        </w:rPr>
        <w:t>服务</w:t>
      </w:r>
      <w:r>
        <w:rPr>
          <w:rFonts w:hint="eastAsia" w:ascii="仿宋" w:hAnsi="仿宋" w:eastAsia="仿宋"/>
          <w:snapToGrid w:val="0"/>
          <w:kern w:val="0"/>
          <w:sz w:val="28"/>
          <w:u w:val="single"/>
          <w:lang w:eastAsia="zh-CN"/>
        </w:rPr>
        <w:t>，</w:t>
      </w:r>
      <w:r>
        <w:rPr>
          <w:rFonts w:hint="eastAsia" w:ascii="仿宋" w:hAnsi="仿宋" w:eastAsia="仿宋"/>
          <w:snapToGrid w:val="0"/>
          <w:kern w:val="0"/>
          <w:sz w:val="28"/>
          <w:u w:val="single"/>
          <w:lang w:val="en-US" w:eastAsia="zh-CN"/>
        </w:rPr>
        <w:t>满足技术规范书及各标准要求</w:t>
      </w:r>
      <w:r>
        <w:rPr>
          <w:rFonts w:hint="eastAsia" w:ascii="仿宋" w:hAnsi="仿宋" w:eastAsia="仿宋"/>
          <w:snapToGrid w:val="0"/>
          <w:kern w:val="0"/>
          <w:sz w:val="28"/>
          <w:u w:val="single"/>
        </w:rPr>
        <w:t>。</w:t>
      </w:r>
    </w:p>
    <w:permEnd w:id="2"/>
    <w:p>
      <w:pPr>
        <w:widowControl/>
        <w:wordWrap w:val="0"/>
        <w:spacing w:line="480" w:lineRule="exact"/>
        <w:ind w:firstLine="548" w:firstLineChars="196"/>
        <w:outlineLvl w:val="1"/>
        <w:rPr>
          <w:rFonts w:hint="eastAsia" w:ascii="仿宋_GB2312" w:eastAsia="仿宋_GB2312"/>
          <w:snapToGrid w:val="0"/>
          <w:kern w:val="0"/>
          <w:sz w:val="28"/>
        </w:rPr>
      </w:pPr>
      <w:bookmarkStart w:id="18" w:name="_Toc15934"/>
      <w:bookmarkStart w:id="19" w:name="_Toc363053360"/>
      <w:bookmarkStart w:id="20" w:name="_Toc374455084"/>
      <w:r>
        <w:rPr>
          <w:rFonts w:hint="eastAsia" w:ascii="黑体" w:eastAsia="黑体"/>
          <w:snapToGrid w:val="0"/>
          <w:kern w:val="0"/>
          <w:sz w:val="28"/>
        </w:rPr>
        <w:t>3.甲方提供的工作条件及协作事项</w:t>
      </w:r>
      <w:bookmarkEnd w:id="18"/>
      <w:bookmarkEnd w:id="19"/>
      <w:bookmarkEnd w:id="20"/>
    </w:p>
    <w:p>
      <w:pPr>
        <w:widowControl/>
        <w:tabs>
          <w:tab w:val="left" w:pos="900"/>
        </w:tabs>
        <w:wordWrap w:val="0"/>
        <w:spacing w:line="480" w:lineRule="exact"/>
        <w:ind w:firstLine="560" w:firstLineChars="200"/>
        <w:rPr>
          <w:rFonts w:hint="eastAsia" w:ascii="仿宋" w:hAnsi="仿宋" w:eastAsia="仿宋"/>
          <w:snapToGrid w:val="0"/>
          <w:kern w:val="0"/>
          <w:sz w:val="28"/>
        </w:rPr>
      </w:pPr>
      <w:permStart w:id="3" w:edGrp="everyone"/>
      <w:r>
        <w:rPr>
          <w:rFonts w:hint="eastAsia" w:ascii="仿宋" w:hAnsi="仿宋" w:eastAsia="仿宋"/>
          <w:snapToGrid w:val="0"/>
          <w:kern w:val="0"/>
          <w:sz w:val="28"/>
        </w:rPr>
        <w:t>3.1提供的工作条件：</w:t>
      </w:r>
    </w:p>
    <w:p>
      <w:pPr>
        <w:widowControl/>
        <w:tabs>
          <w:tab w:val="left" w:pos="900"/>
        </w:tabs>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（1）</w:t>
      </w:r>
      <w:r>
        <w:rPr>
          <w:rFonts w:hint="eastAsia"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负责办理相应的工作票</w:t>
      </w:r>
      <w:r>
        <w:rPr>
          <w:rFonts w:hint="eastAsia" w:ascii="仿宋" w:hAnsi="仿宋" w:eastAsia="仿宋"/>
          <w:snapToGrid w:val="0"/>
          <w:kern w:val="0"/>
          <w:sz w:val="28"/>
        </w:rPr>
        <w:t xml:space="preserve">；         </w:t>
      </w:r>
    </w:p>
    <w:p>
      <w:pPr>
        <w:widowControl/>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（2）</w:t>
      </w:r>
      <w:r>
        <w:rPr>
          <w:rFonts w:hint="eastAsia" w:ascii="仿宋" w:hAnsi="仿宋" w:eastAsia="仿宋"/>
          <w:snapToGrid w:val="0"/>
          <w:kern w:val="0"/>
          <w:sz w:val="28"/>
          <w:u w:val="single"/>
        </w:rPr>
        <w:t xml:space="preserve"> /   </w:t>
      </w:r>
      <w:r>
        <w:rPr>
          <w:rFonts w:hint="eastAsia" w:ascii="仿宋" w:hAnsi="仿宋" w:eastAsia="仿宋"/>
          <w:snapToGrid w:val="0"/>
          <w:kern w:val="0"/>
          <w:sz w:val="28"/>
        </w:rPr>
        <w:t xml:space="preserve">。          </w:t>
      </w:r>
    </w:p>
    <w:p>
      <w:pPr>
        <w:widowControl/>
        <w:tabs>
          <w:tab w:val="left" w:pos="900"/>
        </w:tabs>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3.2提供的技术资料：</w:t>
      </w:r>
    </w:p>
    <w:p>
      <w:pPr>
        <w:widowControl/>
        <w:numPr>
          <w:ilvl w:val="0"/>
          <w:numId w:val="4"/>
        </w:numPr>
        <w:tabs>
          <w:tab w:val="left" w:pos="900"/>
        </w:tabs>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u w:val="single"/>
          <w:lang w:val="en-US" w:eastAsia="zh-CN"/>
        </w:rPr>
        <w:t xml:space="preserve">      </w:t>
      </w:r>
      <w:r>
        <w:rPr>
          <w:rFonts w:hint="eastAsia" w:ascii="仿宋" w:hAnsi="仿宋" w:eastAsia="仿宋"/>
          <w:snapToGrid w:val="0"/>
          <w:kern w:val="0"/>
          <w:sz w:val="28"/>
        </w:rPr>
        <w:t xml:space="preserve">；  </w:t>
      </w:r>
    </w:p>
    <w:p>
      <w:pPr>
        <w:widowControl/>
        <w:tabs>
          <w:tab w:val="left" w:pos="900"/>
        </w:tabs>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（2）</w:t>
      </w:r>
      <w:r>
        <w:rPr>
          <w:rFonts w:hint="eastAsia" w:ascii="仿宋" w:hAnsi="仿宋" w:eastAsia="仿宋"/>
          <w:snapToGrid w:val="0"/>
          <w:kern w:val="0"/>
          <w:sz w:val="28"/>
          <w:u w:val="single"/>
        </w:rPr>
        <w:t xml:space="preserve">  </w:t>
      </w:r>
      <w:r>
        <w:rPr>
          <w:rFonts w:hint="eastAsia" w:ascii="仿宋" w:hAnsi="仿宋" w:eastAsia="仿宋"/>
          <w:snapToGrid w:val="0"/>
          <w:kern w:val="0"/>
          <w:sz w:val="28"/>
          <w:szCs w:val="22"/>
          <w:u w:val="single"/>
        </w:rPr>
        <w:t>/</w:t>
      </w:r>
      <w:r>
        <w:rPr>
          <w:rFonts w:hint="eastAsia" w:ascii="仿宋" w:hAnsi="仿宋" w:eastAsia="仿宋"/>
          <w:snapToGrid w:val="0"/>
          <w:kern w:val="0"/>
          <w:sz w:val="28"/>
          <w:u w:val="single"/>
        </w:rPr>
        <w:t xml:space="preserve">    </w:t>
      </w:r>
      <w:r>
        <w:rPr>
          <w:rFonts w:hint="eastAsia" w:ascii="仿宋" w:hAnsi="仿宋" w:eastAsia="仿宋"/>
          <w:snapToGrid w:val="0"/>
          <w:kern w:val="0"/>
          <w:sz w:val="28"/>
        </w:rPr>
        <w:t xml:space="preserve">。  </w:t>
      </w:r>
    </w:p>
    <w:p>
      <w:pPr>
        <w:widowControl/>
        <w:tabs>
          <w:tab w:val="left" w:pos="900"/>
        </w:tabs>
        <w:wordWrap w:val="0"/>
        <w:spacing w:line="480" w:lineRule="exact"/>
        <w:ind w:firstLine="560" w:firstLineChars="200"/>
        <w:rPr>
          <w:rFonts w:hint="eastAsia" w:ascii="仿宋" w:hAnsi="仿宋" w:eastAsia="仿宋"/>
          <w:snapToGrid w:val="0"/>
          <w:kern w:val="0"/>
          <w:sz w:val="28"/>
          <w:u w:val="single"/>
        </w:rPr>
      </w:pPr>
      <w:r>
        <w:rPr>
          <w:rFonts w:hint="eastAsia" w:ascii="仿宋" w:hAnsi="仿宋" w:eastAsia="仿宋"/>
          <w:snapToGrid w:val="0"/>
          <w:kern w:val="0"/>
          <w:sz w:val="28"/>
        </w:rPr>
        <w:t>3.3其他：</w:t>
      </w:r>
      <w:r>
        <w:rPr>
          <w:rFonts w:hint="eastAsia" w:ascii="仿宋" w:hAnsi="仿宋" w:eastAsia="仿宋"/>
          <w:snapToGrid w:val="0"/>
          <w:kern w:val="0"/>
          <w:sz w:val="28"/>
          <w:u w:val="single"/>
        </w:rPr>
        <w:t xml:space="preserve"> /  </w:t>
      </w:r>
      <w:r>
        <w:rPr>
          <w:rFonts w:hint="eastAsia" w:ascii="仿宋" w:hAnsi="仿宋" w:eastAsia="仿宋"/>
          <w:snapToGrid w:val="0"/>
          <w:kern w:val="0"/>
          <w:sz w:val="28"/>
        </w:rPr>
        <w:t>。</w:t>
      </w:r>
    </w:p>
    <w:p>
      <w:pPr>
        <w:widowControl/>
        <w:tabs>
          <w:tab w:val="left" w:pos="900"/>
        </w:tabs>
        <w:wordWrap w:val="0"/>
        <w:spacing w:line="480" w:lineRule="exact"/>
        <w:ind w:firstLine="555"/>
        <w:rPr>
          <w:rFonts w:hint="eastAsia" w:ascii="仿宋" w:hAnsi="仿宋" w:eastAsia="仿宋"/>
          <w:snapToGrid w:val="0"/>
          <w:kern w:val="0"/>
          <w:sz w:val="28"/>
        </w:rPr>
      </w:pPr>
      <w:r>
        <w:rPr>
          <w:rFonts w:hint="eastAsia" w:ascii="仿宋" w:hAnsi="仿宋" w:eastAsia="仿宋"/>
          <w:snapToGrid w:val="0"/>
          <w:kern w:val="0"/>
          <w:sz w:val="28"/>
        </w:rPr>
        <w:t>3.4甲方提供上述工作条件和协作事项的时间及方式：</w:t>
      </w:r>
    </w:p>
    <w:p>
      <w:pPr>
        <w:widowControl/>
        <w:tabs>
          <w:tab w:val="left" w:pos="900"/>
        </w:tabs>
        <w:wordWrap w:val="0"/>
        <w:spacing w:line="480" w:lineRule="exact"/>
        <w:ind w:firstLine="555"/>
        <w:rPr>
          <w:rFonts w:hint="eastAsia" w:ascii="仿宋" w:hAnsi="仿宋" w:eastAsia="仿宋"/>
          <w:snapToGrid w:val="0"/>
          <w:kern w:val="0"/>
          <w:sz w:val="28"/>
        </w:rPr>
      </w:pPr>
      <w:r>
        <w:rPr>
          <w:rFonts w:hint="eastAsia" w:ascii="仿宋" w:hAnsi="仿宋" w:eastAsia="仿宋"/>
          <w:snapToGrid w:val="0"/>
          <w:kern w:val="0"/>
          <w:sz w:val="28"/>
          <w:u w:val="single"/>
        </w:rPr>
        <w:t xml:space="preserve">  自合同签订成立生效之日起根据工作进展提供        </w:t>
      </w:r>
      <w:r>
        <w:rPr>
          <w:rFonts w:hint="eastAsia" w:ascii="仿宋" w:hAnsi="仿宋" w:eastAsia="仿宋"/>
          <w:snapToGrid w:val="0"/>
          <w:kern w:val="0"/>
          <w:sz w:val="28"/>
        </w:rPr>
        <w:t>。</w:t>
      </w:r>
      <w:permEnd w:id="3"/>
    </w:p>
    <w:p>
      <w:pPr>
        <w:widowControl/>
        <w:wordWrap w:val="0"/>
        <w:spacing w:line="480" w:lineRule="exact"/>
        <w:ind w:firstLine="548" w:firstLineChars="196"/>
        <w:outlineLvl w:val="1"/>
        <w:rPr>
          <w:rFonts w:hint="eastAsia" w:ascii="黑体" w:eastAsia="黑体"/>
          <w:snapToGrid w:val="0"/>
          <w:kern w:val="0"/>
          <w:sz w:val="28"/>
        </w:rPr>
      </w:pPr>
      <w:bookmarkStart w:id="21" w:name="_Toc363053361"/>
      <w:bookmarkStart w:id="22" w:name="_Toc374455085"/>
      <w:bookmarkStart w:id="23" w:name="_Toc27082"/>
      <w:r>
        <w:rPr>
          <w:rFonts w:hint="eastAsia" w:ascii="黑体" w:eastAsia="黑体"/>
          <w:snapToGrid w:val="0"/>
          <w:kern w:val="0"/>
          <w:sz w:val="28"/>
        </w:rPr>
        <w:t>4.组织与管理</w:t>
      </w:r>
      <w:bookmarkEnd w:id="21"/>
      <w:bookmarkEnd w:id="22"/>
      <w:bookmarkEnd w:id="23"/>
    </w:p>
    <w:p>
      <w:pPr>
        <w:widowControl/>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4.1在本合同有效期内，乙方应派出专业技术人员为甲方提供技术服务。技术服务人员名单见附件《技术服务人员表》。</w:t>
      </w:r>
    </w:p>
    <w:p>
      <w:pPr>
        <w:widowControl/>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4.2本合同双方分别指定项目负责人如下：</w:t>
      </w:r>
    </w:p>
    <w:p>
      <w:pPr>
        <w:widowControl/>
        <w:wordWrap w:val="0"/>
        <w:spacing w:line="480" w:lineRule="exact"/>
        <w:ind w:firstLine="560" w:firstLineChars="200"/>
        <w:rPr>
          <w:rFonts w:hint="eastAsia" w:ascii="仿宋" w:hAnsi="仿宋" w:eastAsia="仿宋"/>
          <w:snapToGrid w:val="0"/>
          <w:kern w:val="0"/>
          <w:sz w:val="28"/>
          <w:lang w:val="en-US" w:eastAsia="zh-CN"/>
        </w:rPr>
      </w:pPr>
      <w:r>
        <w:rPr>
          <w:rFonts w:hint="eastAsia" w:ascii="仿宋" w:hAnsi="仿宋" w:eastAsia="仿宋"/>
          <w:snapToGrid w:val="0"/>
          <w:kern w:val="0"/>
          <w:sz w:val="28"/>
          <w:highlight w:val="none"/>
        </w:rPr>
        <w:t>（1）甲方负责人</w:t>
      </w:r>
      <w:r>
        <w:rPr>
          <w:rFonts w:hint="eastAsia" w:ascii="仿宋" w:hAnsi="仿宋" w:eastAsia="仿宋"/>
          <w:snapToGrid w:val="0"/>
          <w:kern w:val="0"/>
          <w:sz w:val="28"/>
        </w:rPr>
        <w:t>：</w:t>
      </w:r>
      <w:permStart w:id="4" w:edGrp="everyone"/>
      <w:r>
        <w:rPr>
          <w:rFonts w:hint="eastAsia"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池志达        </w:t>
      </w:r>
      <w:r>
        <w:rPr>
          <w:rFonts w:hint="eastAsia" w:ascii="仿宋" w:hAnsi="仿宋" w:eastAsia="仿宋"/>
          <w:snapToGrid w:val="0"/>
          <w:kern w:val="0"/>
          <w:sz w:val="28"/>
          <w:u w:val="single"/>
        </w:rPr>
        <w:t xml:space="preserve"> </w:t>
      </w:r>
      <w:permEnd w:id="4"/>
      <w:r>
        <w:rPr>
          <w:rFonts w:hint="eastAsia" w:ascii="仿宋" w:hAnsi="仿宋" w:eastAsia="仿宋"/>
          <w:snapToGrid w:val="0"/>
          <w:kern w:val="0"/>
          <w:sz w:val="28"/>
        </w:rPr>
        <w:t>，电话：</w:t>
      </w:r>
      <w:permStart w:id="5" w:edGrp="everyone"/>
      <w:r>
        <w:rPr>
          <w:rFonts w:hint="eastAsia"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 xml:space="preserve"> </w:t>
      </w:r>
      <w:r>
        <w:rPr>
          <w:rFonts w:hint="default" w:ascii="仿宋" w:hAnsi="仿宋" w:eastAsia="仿宋"/>
          <w:snapToGrid w:val="0"/>
          <w:kern w:val="0"/>
          <w:sz w:val="28"/>
          <w:u w:val="single"/>
          <w:lang w:val="en-US" w:eastAsia="zh-CN"/>
        </w:rPr>
        <w:t xml:space="preserve">        </w:t>
      </w:r>
      <w:r>
        <w:rPr>
          <w:rFonts w:hint="eastAsia" w:ascii="仿宋" w:hAnsi="仿宋" w:eastAsia="仿宋"/>
          <w:snapToGrid w:val="0"/>
          <w:kern w:val="0"/>
          <w:sz w:val="28"/>
          <w:u w:val="single"/>
          <w:lang w:val="en-US" w:eastAsia="zh-CN"/>
        </w:rPr>
        <w:t xml:space="preserve">13940549061 </w:t>
      </w:r>
      <w:r>
        <w:rPr>
          <w:rFonts w:hint="eastAsia" w:ascii="仿宋" w:hAnsi="仿宋" w:eastAsia="仿宋"/>
          <w:snapToGrid w:val="0"/>
          <w:kern w:val="0"/>
          <w:sz w:val="28"/>
          <w:u w:val="single"/>
        </w:rPr>
        <w:t xml:space="preserve"> </w:t>
      </w:r>
      <w:permEnd w:id="5"/>
      <w:r>
        <w:rPr>
          <w:rFonts w:hint="eastAsia" w:ascii="仿宋" w:hAnsi="仿宋" w:eastAsia="仿宋"/>
          <w:snapToGrid w:val="0"/>
          <w:kern w:val="0"/>
          <w:sz w:val="28"/>
        </w:rPr>
        <w:t>；</w:t>
      </w:r>
    </w:p>
    <w:p>
      <w:pPr>
        <w:widowControl/>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（2）乙方负责人：</w:t>
      </w:r>
      <w:permStart w:id="6" w:edGrp="everyone"/>
      <w:r>
        <w:rPr>
          <w:rFonts w:hint="eastAsia" w:ascii="仿宋" w:hAnsi="仿宋" w:eastAsia="仿宋"/>
          <w:snapToGrid w:val="0"/>
          <w:kern w:val="0"/>
          <w:sz w:val="28"/>
          <w:u w:val="single"/>
        </w:rPr>
        <w:t xml:space="preserve">          </w:t>
      </w:r>
      <w:permEnd w:id="6"/>
      <w:r>
        <w:rPr>
          <w:rFonts w:hint="eastAsia" w:ascii="仿宋" w:hAnsi="仿宋" w:eastAsia="仿宋"/>
          <w:snapToGrid w:val="0"/>
          <w:kern w:val="0"/>
          <w:sz w:val="28"/>
        </w:rPr>
        <w:t>，电话：</w:t>
      </w:r>
      <w:permStart w:id="7" w:edGrp="everyone"/>
      <w:r>
        <w:rPr>
          <w:rFonts w:hint="eastAsia" w:ascii="仿宋" w:hAnsi="仿宋" w:eastAsia="仿宋"/>
          <w:snapToGrid w:val="0"/>
          <w:kern w:val="0"/>
          <w:sz w:val="28"/>
          <w:u w:val="single"/>
        </w:rPr>
        <w:t xml:space="preserve">            </w:t>
      </w:r>
      <w:permEnd w:id="7"/>
      <w:r>
        <w:rPr>
          <w:rFonts w:hint="eastAsia" w:ascii="仿宋" w:hAnsi="仿宋" w:eastAsia="仿宋"/>
          <w:snapToGrid w:val="0"/>
          <w:kern w:val="0"/>
          <w:sz w:val="28"/>
        </w:rPr>
        <w:t>。</w:t>
      </w:r>
    </w:p>
    <w:p>
      <w:pPr>
        <w:widowControl/>
        <w:wordWrap w:val="0"/>
        <w:spacing w:line="480" w:lineRule="exact"/>
        <w:ind w:firstLine="700" w:firstLineChars="250"/>
        <w:rPr>
          <w:rFonts w:hint="eastAsia" w:ascii="仿宋" w:hAnsi="仿宋" w:eastAsia="仿宋"/>
          <w:snapToGrid w:val="0"/>
          <w:kern w:val="0"/>
          <w:sz w:val="28"/>
        </w:rPr>
      </w:pPr>
      <w:r>
        <w:rPr>
          <w:rFonts w:hint="eastAsia" w:ascii="仿宋" w:hAnsi="仿宋" w:eastAsia="仿宋"/>
          <w:snapToGrid w:val="0"/>
          <w:kern w:val="0"/>
          <w:sz w:val="28"/>
        </w:rPr>
        <w:t>项目负责人的主要职责为：</w:t>
      </w:r>
    </w:p>
    <w:p>
      <w:pPr>
        <w:widowControl/>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（1）牵头组织本方技术服务工作；</w:t>
      </w:r>
    </w:p>
    <w:p>
      <w:pPr>
        <w:widowControl/>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（2）负责组织协调合同的签订、履行；</w:t>
      </w:r>
    </w:p>
    <w:p>
      <w:pPr>
        <w:widowControl/>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（3）负责跟踪或报告技术服务工作进展和成果；</w:t>
      </w:r>
    </w:p>
    <w:p>
      <w:pPr>
        <w:widowControl/>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（4）负责与另一方的沟通协调、信息传递等工作，为技术服务工作提供便利条件。</w:t>
      </w:r>
    </w:p>
    <w:p>
      <w:pPr>
        <w:widowControl/>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4.3人员更换</w:t>
      </w:r>
    </w:p>
    <w:p>
      <w:pPr>
        <w:widowControl/>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4.3.1一方变更项目负责人的，应当及时以书面形式通知另一方。</w:t>
      </w:r>
    </w:p>
    <w:p>
      <w:pPr>
        <w:widowControl/>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4.3.2乙方更换其项目负责人与其他技术服务人员，须征得甲方书面同意。</w:t>
      </w:r>
    </w:p>
    <w:p>
      <w:pPr>
        <w:widowControl/>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4.3.3甲方认为乙方工作人员不能胜任项目工作或玩忽职守的，有权要求乙方立即更换。上述被更换的人员无甲方另行批准不得重新参加本项目技术服务工作。</w:t>
      </w:r>
    </w:p>
    <w:p>
      <w:pPr>
        <w:widowControl/>
        <w:wordWrap w:val="0"/>
        <w:spacing w:line="480" w:lineRule="exact"/>
        <w:ind w:firstLine="548" w:firstLineChars="196"/>
        <w:outlineLvl w:val="1"/>
        <w:rPr>
          <w:rFonts w:ascii="黑体" w:eastAsia="黑体"/>
          <w:snapToGrid w:val="0"/>
          <w:kern w:val="0"/>
          <w:sz w:val="28"/>
        </w:rPr>
      </w:pPr>
      <w:bookmarkStart w:id="24" w:name="_Toc2288"/>
      <w:bookmarkStart w:id="25" w:name="_Toc363053362"/>
      <w:bookmarkStart w:id="26" w:name="_Toc374455086"/>
      <w:r>
        <w:rPr>
          <w:rFonts w:hint="eastAsia" w:ascii="黑体" w:eastAsia="黑体"/>
          <w:snapToGrid w:val="0"/>
          <w:kern w:val="0"/>
          <w:sz w:val="28"/>
        </w:rPr>
        <w:t>5.技术服务报酬及支付方式</w:t>
      </w:r>
      <w:bookmarkEnd w:id="24"/>
      <w:bookmarkEnd w:id="25"/>
      <w:bookmarkEnd w:id="26"/>
    </w:p>
    <w:p>
      <w:pPr>
        <w:widowControl/>
        <w:wordWrap w:val="0"/>
        <w:spacing w:line="480" w:lineRule="exact"/>
        <w:ind w:firstLine="560" w:firstLineChars="200"/>
        <w:rPr>
          <w:rFonts w:hint="eastAsia" w:ascii="仿宋" w:hAnsi="仿宋" w:eastAsia="仿宋"/>
          <w:snapToGrid w:val="0"/>
          <w:kern w:val="0"/>
          <w:sz w:val="28"/>
        </w:rPr>
      </w:pPr>
      <w:permStart w:id="8" w:edGrp="everyone"/>
      <w:r>
        <w:rPr>
          <w:rFonts w:hint="eastAsia" w:ascii="仿宋" w:hAnsi="仿宋" w:eastAsia="仿宋"/>
          <w:snapToGrid w:val="0"/>
          <w:kern w:val="0"/>
          <w:sz w:val="28"/>
        </w:rPr>
        <w:t>5.1技术服务报酬总额为：人民币（大写）</w:t>
      </w:r>
      <w:r>
        <w:rPr>
          <w:rFonts w:hint="eastAsia" w:ascii="仿宋" w:hAnsi="仿宋" w:eastAsia="仿宋"/>
          <w:snapToGrid w:val="0"/>
          <w:kern w:val="0"/>
          <w:sz w:val="28"/>
          <w:u w:val="single"/>
        </w:rPr>
        <w:t xml:space="preserve">   </w:t>
      </w:r>
      <w:r>
        <w:rPr>
          <w:rFonts w:hint="eastAsia" w:ascii="仿宋" w:hAnsi="仿宋" w:eastAsia="仿宋"/>
          <w:snapToGrid w:val="0"/>
          <w:kern w:val="0"/>
          <w:sz w:val="28"/>
        </w:rPr>
        <w:t>（</w:t>
      </w:r>
      <w:r>
        <w:rPr>
          <w:rFonts w:ascii="Calibri" w:hAnsi="Calibri" w:eastAsia="仿宋"/>
          <w:snapToGrid w:val="0"/>
          <w:kern w:val="0"/>
          <w:sz w:val="28"/>
        </w:rPr>
        <w:t>¥</w:t>
      </w:r>
      <w:r>
        <w:rPr>
          <w:rFonts w:hint="eastAsia" w:ascii="仿宋" w:hAnsi="仿宋" w:eastAsia="仿宋"/>
          <w:snapToGrid w:val="0"/>
          <w:kern w:val="0"/>
          <w:sz w:val="28"/>
          <w:u w:val="single"/>
        </w:rPr>
        <w:t xml:space="preserve">     </w:t>
      </w:r>
      <w:r>
        <w:rPr>
          <w:rFonts w:hint="eastAsia" w:ascii="仿宋" w:hAnsi="仿宋" w:eastAsia="仿宋"/>
          <w:snapToGrid w:val="0"/>
          <w:kern w:val="0"/>
          <w:sz w:val="28"/>
        </w:rPr>
        <w:t>）（含税），其中，不含税价人民币</w:t>
      </w:r>
      <w:r>
        <w:rPr>
          <w:rFonts w:hint="eastAsia" w:ascii="仿宋" w:hAnsi="仿宋" w:eastAsia="仿宋"/>
          <w:snapToGrid w:val="0"/>
          <w:kern w:val="0"/>
          <w:sz w:val="28"/>
          <w:u w:val="single"/>
        </w:rPr>
        <w:t xml:space="preserve"> </w:t>
      </w:r>
      <w:r>
        <w:rPr>
          <w:rFonts w:ascii="仿宋" w:hAnsi="仿宋" w:eastAsia="仿宋"/>
          <w:snapToGrid w:val="0"/>
          <w:kern w:val="0"/>
          <w:sz w:val="28"/>
          <w:u w:val="single"/>
        </w:rPr>
        <w:t xml:space="preserve">  </w:t>
      </w:r>
      <w:r>
        <w:rPr>
          <w:rFonts w:hint="eastAsia" w:ascii="仿宋" w:hAnsi="仿宋" w:eastAsia="仿宋"/>
          <w:snapToGrid w:val="0"/>
          <w:kern w:val="0"/>
          <w:sz w:val="28"/>
          <w:u w:val="single"/>
        </w:rPr>
        <w:t xml:space="preserve"> </w:t>
      </w:r>
      <w:r>
        <w:rPr>
          <w:rFonts w:ascii="仿宋" w:hAnsi="仿宋" w:eastAsia="仿宋"/>
          <w:snapToGrid w:val="0"/>
          <w:kern w:val="0"/>
          <w:sz w:val="28"/>
          <w:u w:val="single"/>
        </w:rPr>
        <w:t xml:space="preserve"> </w:t>
      </w:r>
      <w:r>
        <w:rPr>
          <w:rFonts w:hint="eastAsia" w:ascii="仿宋" w:hAnsi="仿宋" w:eastAsia="仿宋"/>
          <w:snapToGrid w:val="0"/>
          <w:kern w:val="0"/>
          <w:sz w:val="28"/>
        </w:rPr>
        <w:t>（大写）（</w:t>
      </w:r>
      <w:r>
        <w:rPr>
          <w:rFonts w:ascii="Calibri" w:hAnsi="Calibri" w:eastAsia="仿宋"/>
          <w:snapToGrid w:val="0"/>
          <w:kern w:val="0"/>
          <w:sz w:val="28"/>
        </w:rPr>
        <w:t>¥</w:t>
      </w:r>
      <w:r>
        <w:rPr>
          <w:rFonts w:hint="eastAsia" w:ascii="仿宋" w:hAnsi="仿宋" w:eastAsia="仿宋"/>
          <w:snapToGrid w:val="0"/>
          <w:kern w:val="0"/>
          <w:sz w:val="28"/>
          <w:u w:val="single"/>
        </w:rPr>
        <w:t xml:space="preserve">    </w:t>
      </w:r>
      <w:r>
        <w:rPr>
          <w:rFonts w:hint="eastAsia" w:ascii="仿宋" w:hAnsi="仿宋" w:eastAsia="仿宋"/>
          <w:snapToGrid w:val="0"/>
          <w:kern w:val="0"/>
          <w:sz w:val="28"/>
        </w:rPr>
        <w:t>），增值税税率</w:t>
      </w:r>
      <w:r>
        <w:rPr>
          <w:rFonts w:hint="eastAsia" w:ascii="仿宋" w:hAnsi="仿宋" w:eastAsia="仿宋"/>
          <w:snapToGrid w:val="0"/>
          <w:kern w:val="0"/>
          <w:sz w:val="28"/>
          <w:u w:val="single"/>
        </w:rPr>
        <w:t xml:space="preserve">  6  </w:t>
      </w:r>
      <w:r>
        <w:rPr>
          <w:rFonts w:hint="eastAsia" w:ascii="仿宋" w:hAnsi="仿宋" w:eastAsia="仿宋"/>
          <w:snapToGrid w:val="0"/>
          <w:kern w:val="0"/>
          <w:sz w:val="28"/>
        </w:rPr>
        <w:t>%，增值税税额</w:t>
      </w:r>
      <w:r>
        <w:rPr>
          <w:rFonts w:hint="eastAsia" w:ascii="仿宋" w:hAnsi="仿宋" w:eastAsia="仿宋"/>
          <w:snapToGrid w:val="0"/>
          <w:kern w:val="0"/>
          <w:sz w:val="28"/>
          <w:u w:val="single"/>
        </w:rPr>
        <w:t xml:space="preserve">    </w:t>
      </w:r>
      <w:r>
        <w:rPr>
          <w:rFonts w:hint="eastAsia" w:ascii="仿宋" w:hAnsi="仿宋" w:eastAsia="仿宋"/>
          <w:snapToGrid w:val="0"/>
          <w:kern w:val="0"/>
          <w:sz w:val="28"/>
        </w:rPr>
        <w:t>元。当合同约定的税率与国家税法规定及税务机关认定的税率不一致时，以国家税法规定及税务机关认定的税率为准进行调整，调整时以不含税价为基准，执行国家法规规定及税务机关规定的税率。</w:t>
      </w:r>
    </w:p>
    <w:p>
      <w:pPr>
        <w:widowControl/>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该报酬包含乙方履行本合同所需全部费用，包括但不限于员工工资、加班费、咨询费、资料费、交通费、食宿费以及税费等。</w:t>
      </w:r>
    </w:p>
    <w:p>
      <w:pPr>
        <w:widowControl/>
        <w:wordWrap w:val="0"/>
        <w:spacing w:line="480" w:lineRule="exact"/>
        <w:ind w:firstLine="560" w:firstLineChars="200"/>
        <w:rPr>
          <w:rFonts w:hint="eastAsia" w:ascii="仿宋" w:hAnsi="仿宋" w:eastAsia="仿宋"/>
          <w:snapToGrid w:val="0"/>
          <w:color w:val="auto"/>
          <w:kern w:val="0"/>
          <w:sz w:val="28"/>
          <w:highlight w:val="none"/>
        </w:rPr>
      </w:pPr>
      <w:r>
        <w:rPr>
          <w:rFonts w:hint="eastAsia" w:ascii="仿宋" w:hAnsi="仿宋" w:eastAsia="仿宋"/>
          <w:snapToGrid w:val="0"/>
          <w:kern w:val="0"/>
          <w:sz w:val="28"/>
        </w:rPr>
        <w:t>5.2技术服务报酬由甲方</w:t>
      </w:r>
      <w:r>
        <w:rPr>
          <w:rFonts w:hint="eastAsia"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一次</w:t>
      </w:r>
      <w:r>
        <w:rPr>
          <w:rFonts w:hint="eastAsia" w:ascii="仿宋" w:hAnsi="仿宋" w:eastAsia="仿宋"/>
          <w:snapToGrid w:val="0"/>
          <w:kern w:val="0"/>
          <w:sz w:val="28"/>
          <w:u w:val="single"/>
        </w:rPr>
        <w:t xml:space="preserve">   </w:t>
      </w:r>
      <w:r>
        <w:rPr>
          <w:rFonts w:hint="eastAsia" w:ascii="仿宋" w:hAnsi="仿宋" w:eastAsia="仿宋"/>
          <w:snapToGrid w:val="0"/>
          <w:kern w:val="0"/>
          <w:sz w:val="28"/>
        </w:rPr>
        <w:t>（一次或分期）支付乙方。具体支付方</w:t>
      </w:r>
      <w:r>
        <w:rPr>
          <w:rFonts w:hint="eastAsia" w:ascii="仿宋" w:hAnsi="仿宋" w:eastAsia="仿宋"/>
          <w:snapToGrid w:val="0"/>
          <w:color w:val="auto"/>
          <w:kern w:val="0"/>
          <w:sz w:val="28"/>
          <w:highlight w:val="none"/>
        </w:rPr>
        <w:t>式和时间如下：</w:t>
      </w:r>
    </w:p>
    <w:p>
      <w:pPr>
        <w:widowControl/>
        <w:wordWrap w:val="0"/>
        <w:spacing w:line="480" w:lineRule="exact"/>
        <w:ind w:firstLine="560" w:firstLineChars="200"/>
        <w:rPr>
          <w:rFonts w:ascii="仿宋" w:hAnsi="仿宋" w:eastAsia="仿宋"/>
          <w:snapToGrid w:val="0"/>
          <w:color w:val="auto"/>
          <w:kern w:val="0"/>
          <w:sz w:val="28"/>
          <w:highlight w:val="none"/>
          <w:u w:val="single"/>
        </w:rPr>
      </w:pPr>
      <w:r>
        <w:rPr>
          <w:rFonts w:hint="eastAsia" w:ascii="仿宋" w:hAnsi="仿宋" w:eastAsia="仿宋"/>
          <w:snapToGrid w:val="0"/>
          <w:color w:val="auto"/>
          <w:kern w:val="0"/>
          <w:sz w:val="28"/>
          <w:highlight w:val="none"/>
          <w:lang w:eastAsia="zh-CN"/>
        </w:rPr>
        <w:t>乙方完成本合同约定的所有服务内容（含复测），</w:t>
      </w:r>
      <w:r>
        <w:rPr>
          <w:rFonts w:hint="eastAsia" w:ascii="仿宋" w:hAnsi="仿宋" w:eastAsia="仿宋"/>
          <w:snapToGrid w:val="0"/>
          <w:color w:val="auto"/>
          <w:kern w:val="0"/>
          <w:sz w:val="28"/>
          <w:highlight w:val="none"/>
          <w:u w:val="single"/>
          <w:lang w:val="en-US" w:eastAsia="zh-CN"/>
        </w:rPr>
        <w:t>出具相关报告【含整改方案（如有整改）】</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u w:val="single"/>
          <w:lang w:val="en-US" w:eastAsia="zh-CN"/>
        </w:rPr>
        <w:t>并</w:t>
      </w:r>
      <w:r>
        <w:rPr>
          <w:rFonts w:hint="eastAsia" w:ascii="仿宋" w:hAnsi="仿宋" w:eastAsia="仿宋"/>
          <w:color w:val="auto"/>
          <w:sz w:val="28"/>
          <w:szCs w:val="28"/>
          <w:highlight w:val="none"/>
          <w:u w:val="single"/>
        </w:rPr>
        <w:t>提交验收资料</w:t>
      </w:r>
      <w:r>
        <w:rPr>
          <w:rFonts w:hint="eastAsia" w:ascii="仿宋" w:hAnsi="仿宋" w:eastAsia="仿宋"/>
          <w:color w:val="auto"/>
          <w:sz w:val="28"/>
          <w:szCs w:val="28"/>
          <w:highlight w:val="none"/>
          <w:u w:val="single"/>
          <w:lang w:eastAsia="zh-CN"/>
        </w:rPr>
        <w:t>，</w:t>
      </w:r>
      <w:r>
        <w:rPr>
          <w:rFonts w:hint="eastAsia" w:ascii="仿宋" w:hAnsi="仿宋" w:eastAsia="仿宋"/>
          <w:color w:val="auto"/>
          <w:sz w:val="28"/>
          <w:szCs w:val="28"/>
          <w:highlight w:val="none"/>
          <w:u w:val="single"/>
          <w:lang w:val="en-US" w:eastAsia="zh-CN"/>
        </w:rPr>
        <w:t>相关资料</w:t>
      </w:r>
      <w:r>
        <w:rPr>
          <w:rFonts w:hint="eastAsia" w:ascii="仿宋" w:hAnsi="仿宋" w:eastAsia="仿宋"/>
          <w:color w:val="auto"/>
          <w:sz w:val="28"/>
          <w:szCs w:val="28"/>
          <w:highlight w:val="none"/>
          <w:u w:val="single"/>
        </w:rPr>
        <w:t>验收合格后，经甲方确认且收到电子档测评文件后，甲方向乙方支付合同金额</w:t>
      </w:r>
      <w:r>
        <w:rPr>
          <w:rFonts w:hint="eastAsia" w:ascii="仿宋" w:hAnsi="仿宋" w:eastAsia="仿宋"/>
          <w:color w:val="auto"/>
          <w:sz w:val="28"/>
          <w:szCs w:val="28"/>
          <w:highlight w:val="none"/>
          <w:u w:val="single"/>
          <w:lang w:val="en-US" w:eastAsia="zh-CN"/>
        </w:rPr>
        <w:t>9</w:t>
      </w:r>
      <w:r>
        <w:rPr>
          <w:rFonts w:hint="eastAsia" w:ascii="仿宋" w:hAnsi="仿宋" w:eastAsia="仿宋"/>
          <w:color w:val="auto"/>
          <w:sz w:val="28"/>
          <w:szCs w:val="28"/>
          <w:highlight w:val="none"/>
          <w:u w:val="single"/>
        </w:rPr>
        <w:t>0%。</w:t>
      </w:r>
    </w:p>
    <w:p>
      <w:pPr>
        <w:widowControl/>
        <w:tabs>
          <w:tab w:val="left" w:pos="720"/>
        </w:tabs>
        <w:wordWrap w:val="0"/>
        <w:spacing w:line="480" w:lineRule="exact"/>
        <w:ind w:firstLine="560" w:firstLineChars="200"/>
        <w:rPr>
          <w:rFonts w:hint="eastAsia" w:ascii="仿宋_GB2312" w:eastAsia="仿宋_GB2312"/>
          <w:snapToGrid w:val="0"/>
          <w:kern w:val="0"/>
          <w:sz w:val="28"/>
        </w:rPr>
      </w:pPr>
      <w:r>
        <w:rPr>
          <w:rFonts w:hint="eastAsia" w:ascii="仿宋" w:hAnsi="仿宋" w:eastAsia="仿宋"/>
          <w:snapToGrid w:val="0"/>
          <w:kern w:val="0"/>
          <w:sz w:val="28"/>
        </w:rPr>
        <w:t>乙方应提供真实合法有效且符合甲方主管税务机关标准的等额增值税发票，乙方未按合同约定提供发票的，甲方有权相应延期付款且不视为违约。</w:t>
      </w:r>
    </w:p>
    <w:permEnd w:id="8"/>
    <w:p>
      <w:pPr>
        <w:widowControl/>
        <w:wordWrap w:val="0"/>
        <w:spacing w:line="480" w:lineRule="exact"/>
        <w:ind w:firstLine="548" w:firstLineChars="196"/>
        <w:outlineLvl w:val="1"/>
        <w:rPr>
          <w:rFonts w:hint="eastAsia" w:ascii="黑体" w:eastAsia="黑体"/>
          <w:snapToGrid w:val="0"/>
          <w:kern w:val="0"/>
          <w:sz w:val="28"/>
        </w:rPr>
      </w:pPr>
      <w:bookmarkStart w:id="27" w:name="_Toc7442"/>
      <w:bookmarkStart w:id="28" w:name="_Toc374455087"/>
      <w:bookmarkStart w:id="29" w:name="_Toc363053363"/>
      <w:r>
        <w:rPr>
          <w:rFonts w:hint="eastAsia" w:ascii="黑体" w:eastAsia="黑体"/>
          <w:snapToGrid w:val="0"/>
          <w:kern w:val="0"/>
          <w:sz w:val="28"/>
        </w:rPr>
        <w:t>6.技术服务工作成果的验收</w:t>
      </w:r>
      <w:bookmarkEnd w:id="27"/>
      <w:bookmarkEnd w:id="28"/>
      <w:bookmarkEnd w:id="29"/>
    </w:p>
    <w:p>
      <w:pPr>
        <w:widowControl/>
        <w:spacing w:line="480" w:lineRule="exact"/>
        <w:ind w:firstLine="560" w:firstLineChars="200"/>
        <w:rPr>
          <w:rFonts w:hint="eastAsia" w:ascii="仿宋" w:hAnsi="仿宋" w:eastAsia="仿宋"/>
          <w:snapToGrid w:val="0"/>
          <w:kern w:val="0"/>
          <w:sz w:val="28"/>
        </w:rPr>
      </w:pPr>
      <w:bookmarkStart w:id="30" w:name="_Toc374455088"/>
      <w:bookmarkStart w:id="31" w:name="_Toc363053364"/>
      <w:r>
        <w:rPr>
          <w:rFonts w:hint="eastAsia" w:ascii="仿宋" w:hAnsi="仿宋" w:eastAsia="仿宋"/>
          <w:snapToGrid w:val="0"/>
          <w:kern w:val="0"/>
          <w:sz w:val="28"/>
        </w:rPr>
        <w:t>6.1乙方完成技术服务工作的形式：</w:t>
      </w:r>
      <w:r>
        <w:rPr>
          <w:rFonts w:hint="eastAsia" w:ascii="仿宋" w:hAnsi="仿宋" w:eastAsia="仿宋"/>
          <w:snapToGrid w:val="0"/>
          <w:kern w:val="0"/>
          <w:sz w:val="28"/>
          <w:u w:val="single"/>
        </w:rPr>
        <w:t>乙方以书面方式对服务内容进行功能和服务情况汇报</w:t>
      </w:r>
      <w:r>
        <w:rPr>
          <w:rFonts w:hint="eastAsia" w:ascii="仿宋" w:hAnsi="仿宋" w:eastAsia="仿宋"/>
          <w:snapToGrid w:val="0"/>
          <w:kern w:val="0"/>
          <w:sz w:val="28"/>
        </w:rPr>
        <w:t>。</w:t>
      </w:r>
    </w:p>
    <w:p>
      <w:pPr>
        <w:widowControl/>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6.2技术服务工作成果的验收标准：</w:t>
      </w:r>
      <w:r>
        <w:rPr>
          <w:rFonts w:hint="eastAsia" w:ascii="仿宋" w:hAnsi="仿宋" w:eastAsia="仿宋"/>
          <w:snapToGrid w:val="0"/>
          <w:kern w:val="0"/>
          <w:sz w:val="28"/>
          <w:u w:val="single"/>
        </w:rPr>
        <w:t xml:space="preserve"> 满足截至技术服务期限的管理需要，适应甲方实际应用的需求并满足项目技术规范要求    </w:t>
      </w:r>
      <w:r>
        <w:rPr>
          <w:rFonts w:hint="eastAsia" w:ascii="仿宋" w:hAnsi="仿宋" w:eastAsia="仿宋"/>
          <w:snapToGrid w:val="0"/>
          <w:kern w:val="0"/>
          <w:sz w:val="28"/>
        </w:rPr>
        <w:t>。</w:t>
      </w:r>
    </w:p>
    <w:p>
      <w:pPr>
        <w:widowControl/>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6.3技术服务工作成果的验收方法：</w:t>
      </w:r>
      <w:r>
        <w:rPr>
          <w:rFonts w:hint="eastAsia" w:ascii="仿宋" w:hAnsi="仿宋" w:eastAsia="仿宋"/>
          <w:snapToGrid w:val="0"/>
          <w:kern w:val="0"/>
          <w:sz w:val="28"/>
          <w:u w:val="single"/>
        </w:rPr>
        <w:t>由甲方组织验收，乙方出具技术项目验收资料，若乙方提交的服务成果达不到本合同的要求，甲方将按照《服务考核标准》的要求对乙方的服务进行考核</w:t>
      </w:r>
      <w:r>
        <w:rPr>
          <w:rFonts w:hint="eastAsia" w:ascii="仿宋" w:hAnsi="仿宋" w:eastAsia="仿宋"/>
          <w:snapToGrid w:val="0"/>
          <w:kern w:val="0"/>
          <w:sz w:val="28"/>
        </w:rPr>
        <w:t>。</w:t>
      </w:r>
    </w:p>
    <w:p>
      <w:pPr>
        <w:widowControl/>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6.4验收的时间和地点：</w:t>
      </w:r>
      <w:r>
        <w:rPr>
          <w:rFonts w:hint="eastAsia" w:ascii="仿宋" w:hAnsi="仿宋" w:eastAsia="仿宋"/>
          <w:snapToGrid w:val="0"/>
          <w:kern w:val="0"/>
          <w:sz w:val="28"/>
          <w:u w:val="single"/>
        </w:rPr>
        <w:t xml:space="preserve"> 乙方提交项目验收申请后一个月内，由甲方组织验收 </w:t>
      </w:r>
      <w:r>
        <w:rPr>
          <w:rFonts w:hint="eastAsia" w:ascii="仿宋" w:hAnsi="仿宋" w:eastAsia="仿宋"/>
          <w:snapToGrid w:val="0"/>
          <w:kern w:val="0"/>
          <w:sz w:val="28"/>
        </w:rPr>
        <w:t>。</w:t>
      </w:r>
    </w:p>
    <w:p>
      <w:pPr>
        <w:widowControl/>
        <w:wordWrap w:val="0"/>
        <w:spacing w:line="480" w:lineRule="exact"/>
        <w:ind w:firstLine="548" w:firstLineChars="196"/>
        <w:outlineLvl w:val="1"/>
        <w:rPr>
          <w:rFonts w:hint="eastAsia" w:ascii="黑体" w:eastAsia="黑体"/>
          <w:snapToGrid w:val="0"/>
          <w:kern w:val="0"/>
          <w:sz w:val="28"/>
        </w:rPr>
      </w:pPr>
      <w:bookmarkStart w:id="32" w:name="_Toc18205"/>
      <w:r>
        <w:rPr>
          <w:rFonts w:hint="eastAsia" w:ascii="黑体" w:eastAsia="黑体"/>
          <w:snapToGrid w:val="0"/>
          <w:kern w:val="0"/>
          <w:sz w:val="28"/>
        </w:rPr>
        <w:t>7.知识产权</w:t>
      </w:r>
      <w:bookmarkEnd w:id="30"/>
      <w:bookmarkEnd w:id="31"/>
      <w:bookmarkEnd w:id="32"/>
    </w:p>
    <w:p>
      <w:pPr>
        <w:widowControl/>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7.1在本合同有效期内，甲方利用乙方提交的技术服务工作成果所完成的新的技术成果，归</w:t>
      </w:r>
      <w:permStart w:id="9" w:edGrp="everyone"/>
      <w:r>
        <w:rPr>
          <w:rFonts w:hint="eastAsia"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甲</w:t>
      </w:r>
      <w:r>
        <w:rPr>
          <w:rFonts w:hint="eastAsia" w:ascii="仿宋" w:hAnsi="仿宋" w:eastAsia="仿宋"/>
          <w:snapToGrid w:val="0"/>
          <w:kern w:val="0"/>
          <w:sz w:val="28"/>
          <w:u w:val="single"/>
        </w:rPr>
        <w:t xml:space="preserve">  </w:t>
      </w:r>
      <w:permEnd w:id="9"/>
      <w:r>
        <w:rPr>
          <w:rFonts w:hint="eastAsia" w:ascii="仿宋" w:hAnsi="仿宋" w:eastAsia="仿宋"/>
          <w:snapToGrid w:val="0"/>
          <w:kern w:val="0"/>
          <w:sz w:val="28"/>
        </w:rPr>
        <w:t>（甲、乙、双）方所有。</w:t>
      </w:r>
    </w:p>
    <w:p>
      <w:pPr>
        <w:widowControl/>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7.2在本合同有效期内，乙方利用甲方提供的技术资料和工作条件所完成的新的技术成果，归</w:t>
      </w:r>
      <w:permStart w:id="10" w:edGrp="everyone"/>
      <w:r>
        <w:rPr>
          <w:rFonts w:hint="eastAsia"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甲</w:t>
      </w:r>
      <w:r>
        <w:rPr>
          <w:rFonts w:hint="eastAsia" w:ascii="仿宋" w:hAnsi="仿宋" w:eastAsia="仿宋"/>
          <w:snapToGrid w:val="0"/>
          <w:kern w:val="0"/>
          <w:sz w:val="28"/>
          <w:u w:val="single"/>
        </w:rPr>
        <w:t xml:space="preserve">  </w:t>
      </w:r>
      <w:permEnd w:id="10"/>
      <w:r>
        <w:rPr>
          <w:rFonts w:hint="eastAsia" w:ascii="仿宋" w:hAnsi="仿宋" w:eastAsia="仿宋"/>
          <w:snapToGrid w:val="0"/>
          <w:kern w:val="0"/>
          <w:sz w:val="28"/>
        </w:rPr>
        <w:t>（甲、乙、双）方所有。</w:t>
      </w:r>
    </w:p>
    <w:p>
      <w:pPr>
        <w:widowControl/>
        <w:wordWrap w:val="0"/>
        <w:spacing w:line="480" w:lineRule="exact"/>
        <w:ind w:firstLine="548" w:firstLineChars="196"/>
        <w:outlineLvl w:val="1"/>
        <w:rPr>
          <w:rFonts w:hint="eastAsia" w:ascii="黑体" w:hAnsi="黑体" w:eastAsia="黑体"/>
          <w:snapToGrid w:val="0"/>
          <w:kern w:val="0"/>
          <w:sz w:val="28"/>
        </w:rPr>
      </w:pPr>
      <w:bookmarkStart w:id="33" w:name="_Toc9240"/>
      <w:bookmarkStart w:id="34" w:name="_Toc363053365"/>
      <w:bookmarkStart w:id="35" w:name="_Toc374455089"/>
      <w:r>
        <w:rPr>
          <w:rFonts w:hint="eastAsia" w:ascii="黑体" w:hAnsi="黑体" w:eastAsia="黑体"/>
          <w:snapToGrid w:val="0"/>
          <w:kern w:val="0"/>
          <w:sz w:val="28"/>
        </w:rPr>
        <w:t>8.保密义务</w:t>
      </w:r>
      <w:bookmarkEnd w:id="33"/>
      <w:bookmarkEnd w:id="34"/>
      <w:bookmarkEnd w:id="35"/>
    </w:p>
    <w:p>
      <w:pPr>
        <w:widowControl/>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8.1一方及其工作人员应对技术服务合同签订、履行过程中了解到的涉及到另一方商业秘密的文件资料以及其他尚未公开的有关信息承担保密责任，并采取相应的保密措施。双方应承担的保密义务包括但不限于：</w:t>
      </w:r>
    </w:p>
    <w:p>
      <w:pPr>
        <w:widowControl/>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8.1.1未经一方书面同意，另一方不得将上述保密信息披露给任何第三人；</w:t>
      </w:r>
    </w:p>
    <w:p>
      <w:pPr>
        <w:widowControl/>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 xml:space="preserve">8.1.2 不得将上述保密信息用于本合同以外的其他目的。 </w:t>
      </w:r>
    </w:p>
    <w:p>
      <w:pPr>
        <w:widowControl/>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8.1.3 在技术服务项目通过评审后或按合同要求，及时将上述资料和信息返还对方或按对方要求作适当处理。</w:t>
      </w:r>
    </w:p>
    <w:p>
      <w:pPr>
        <w:widowControl/>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8.2 涉密人员范围</w:t>
      </w:r>
    </w:p>
    <w:p>
      <w:pPr>
        <w:widowControl/>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甲方涉密人员范围：</w:t>
      </w:r>
      <w:permStart w:id="11" w:edGrp="everyone"/>
      <w:r>
        <w:rPr>
          <w:rFonts w:hint="eastAsia" w:ascii="仿宋" w:hAnsi="仿宋" w:eastAsia="仿宋"/>
          <w:snapToGrid w:val="0"/>
          <w:kern w:val="0"/>
          <w:sz w:val="28"/>
          <w:u w:val="single"/>
        </w:rPr>
        <w:t xml:space="preserve">   项目干系人      </w:t>
      </w:r>
      <w:permEnd w:id="11"/>
      <w:r>
        <w:rPr>
          <w:rFonts w:hint="eastAsia" w:ascii="仿宋" w:hAnsi="仿宋" w:eastAsia="仿宋"/>
          <w:snapToGrid w:val="0"/>
          <w:kern w:val="0"/>
          <w:sz w:val="28"/>
        </w:rPr>
        <w:t>。</w:t>
      </w:r>
    </w:p>
    <w:p>
      <w:pPr>
        <w:widowControl/>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乙方涉密人员范围：</w:t>
      </w:r>
      <w:permStart w:id="12" w:edGrp="everyone"/>
      <w:r>
        <w:rPr>
          <w:rFonts w:hint="eastAsia" w:ascii="仿宋" w:hAnsi="仿宋" w:eastAsia="仿宋"/>
          <w:snapToGrid w:val="0"/>
          <w:kern w:val="0"/>
          <w:sz w:val="28"/>
          <w:u w:val="single"/>
        </w:rPr>
        <w:t xml:space="preserve">   项目干系人      </w:t>
      </w:r>
      <w:permEnd w:id="12"/>
      <w:r>
        <w:rPr>
          <w:rFonts w:hint="eastAsia" w:ascii="仿宋" w:hAnsi="仿宋" w:eastAsia="仿宋"/>
          <w:snapToGrid w:val="0"/>
          <w:kern w:val="0"/>
          <w:sz w:val="28"/>
        </w:rPr>
        <w:t>。</w:t>
      </w:r>
    </w:p>
    <w:p>
      <w:pPr>
        <w:widowControl/>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8.3上述保密义务的期限至保密信息正式向社会公开之日或一方书面解除另一方此合同项下保密义务之日止。</w:t>
      </w:r>
    </w:p>
    <w:p>
      <w:pPr>
        <w:widowControl/>
        <w:wordWrap w:val="0"/>
        <w:spacing w:line="480" w:lineRule="exact"/>
        <w:ind w:firstLine="548" w:firstLineChars="196"/>
        <w:outlineLvl w:val="1"/>
        <w:rPr>
          <w:rFonts w:hint="eastAsia" w:ascii="黑体" w:eastAsia="黑体"/>
          <w:snapToGrid w:val="0"/>
          <w:kern w:val="0"/>
          <w:sz w:val="28"/>
        </w:rPr>
      </w:pPr>
      <w:bookmarkStart w:id="36" w:name="_Toc374455090"/>
      <w:bookmarkStart w:id="37" w:name="_Toc4223"/>
      <w:bookmarkStart w:id="38" w:name="_Toc363053366"/>
      <w:r>
        <w:rPr>
          <w:rFonts w:hint="eastAsia" w:ascii="黑体" w:eastAsia="黑体"/>
          <w:snapToGrid w:val="0"/>
          <w:kern w:val="0"/>
          <w:sz w:val="28"/>
        </w:rPr>
        <w:t>9.违约责任</w:t>
      </w:r>
      <w:bookmarkEnd w:id="36"/>
      <w:bookmarkEnd w:id="37"/>
      <w:bookmarkEnd w:id="38"/>
    </w:p>
    <w:p>
      <w:pPr>
        <w:widowControl/>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9.1 乙方不履行本合同义务或履行义务不符合约定的，甲方有权要求乙方承担继续履行、赔偿损失或支付违约金等违约责任。</w:t>
      </w:r>
    </w:p>
    <w:p>
      <w:pPr>
        <w:widowControl/>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9.1.1 乙方未按期完成技术服务工作的，每逾期1天，应向甲方支付相当于技术服务报酬</w:t>
      </w:r>
      <w:permStart w:id="13" w:edGrp="everyone"/>
      <w:r>
        <w:rPr>
          <w:rFonts w:hint="eastAsia" w:ascii="仿宋" w:hAnsi="仿宋" w:eastAsia="仿宋"/>
          <w:snapToGrid w:val="0"/>
          <w:kern w:val="0"/>
          <w:sz w:val="28"/>
          <w:u w:val="single"/>
        </w:rPr>
        <w:t xml:space="preserve">  0.</w:t>
      </w:r>
      <w:r>
        <w:rPr>
          <w:rFonts w:hint="eastAsia" w:ascii="仿宋" w:hAnsi="仿宋" w:eastAsia="仿宋"/>
          <w:snapToGrid w:val="0"/>
          <w:kern w:val="0"/>
          <w:sz w:val="28"/>
          <w:u w:val="single"/>
          <w:lang w:val="en-US" w:eastAsia="zh-CN"/>
        </w:rPr>
        <w:t>01</w:t>
      </w:r>
      <w:r>
        <w:rPr>
          <w:rFonts w:hint="eastAsia" w:ascii="仿宋" w:hAnsi="仿宋" w:eastAsia="仿宋"/>
          <w:snapToGrid w:val="0"/>
          <w:kern w:val="0"/>
          <w:sz w:val="28"/>
          <w:u w:val="single"/>
        </w:rPr>
        <w:t xml:space="preserve"> </w:t>
      </w:r>
      <w:permEnd w:id="13"/>
      <w:r>
        <w:rPr>
          <w:rFonts w:hint="eastAsia" w:ascii="仿宋" w:hAnsi="仿宋" w:eastAsia="仿宋"/>
          <w:snapToGrid w:val="0"/>
          <w:kern w:val="0"/>
          <w:sz w:val="28"/>
        </w:rPr>
        <w:t>%的违约金，逾期超过</w:t>
      </w:r>
      <w:permStart w:id="14" w:edGrp="everyone"/>
      <w:r>
        <w:rPr>
          <w:rFonts w:hint="eastAsia" w:ascii="仿宋" w:hAnsi="仿宋" w:eastAsia="仿宋"/>
          <w:snapToGrid w:val="0"/>
          <w:kern w:val="0"/>
          <w:sz w:val="28"/>
          <w:u w:val="single"/>
        </w:rPr>
        <w:t xml:space="preserve">  30 </w:t>
      </w:r>
      <w:permEnd w:id="14"/>
      <w:r>
        <w:rPr>
          <w:rFonts w:hint="eastAsia" w:ascii="仿宋" w:hAnsi="仿宋" w:eastAsia="仿宋"/>
          <w:snapToGrid w:val="0"/>
          <w:kern w:val="0"/>
          <w:sz w:val="28"/>
        </w:rPr>
        <w:t>日的，甲方有权单方解除合同。</w:t>
      </w:r>
    </w:p>
    <w:p>
      <w:pPr>
        <w:widowControl/>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9.1.2 乙方未按合同约定履行合同义务，经甲方催告仍未纠正的，甲方有权单方解除合同。由于整改纠正造成进度延期交付的视同逾期交付。</w:t>
      </w:r>
    </w:p>
    <w:p>
      <w:pPr>
        <w:widowControl/>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 xml:space="preserve">9.1.3乙方提供的技术服务不符合本合同约定的验收标准，未通过甲方验收的，乙方应退还甲方已支付的全部款项，并向甲方支付相当于技术服务报酬 </w:t>
      </w:r>
      <w:permStart w:id="15" w:edGrp="everyone"/>
      <w:r>
        <w:rPr>
          <w:rFonts w:hint="eastAsia"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10</w:t>
      </w:r>
      <w:r>
        <w:rPr>
          <w:rFonts w:hint="eastAsia" w:ascii="仿宋" w:hAnsi="仿宋" w:eastAsia="仿宋"/>
          <w:snapToGrid w:val="0"/>
          <w:kern w:val="0"/>
          <w:sz w:val="28"/>
          <w:u w:val="single"/>
        </w:rPr>
        <w:t xml:space="preserve"> </w:t>
      </w:r>
      <w:permEnd w:id="15"/>
      <w:r>
        <w:rPr>
          <w:rFonts w:hint="eastAsia" w:ascii="仿宋" w:hAnsi="仿宋" w:eastAsia="仿宋"/>
          <w:snapToGrid w:val="0"/>
          <w:kern w:val="0"/>
          <w:sz w:val="28"/>
        </w:rPr>
        <w:t>%的违约金。</w:t>
      </w:r>
    </w:p>
    <w:p>
      <w:pPr>
        <w:widowControl/>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9.1.4乙方违反合同约定的保密义务，应承担一切法律责任并向甲方支付相当于技术服务报酬</w:t>
      </w:r>
      <w:permStart w:id="16" w:edGrp="everyone"/>
      <w:r>
        <w:rPr>
          <w:rFonts w:hint="eastAsia"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10</w:t>
      </w:r>
      <w:r>
        <w:rPr>
          <w:rFonts w:hint="eastAsia" w:ascii="仿宋" w:hAnsi="仿宋" w:eastAsia="仿宋"/>
          <w:snapToGrid w:val="0"/>
          <w:kern w:val="0"/>
          <w:sz w:val="28"/>
          <w:u w:val="single"/>
        </w:rPr>
        <w:t xml:space="preserve"> </w:t>
      </w:r>
      <w:permEnd w:id="16"/>
      <w:r>
        <w:rPr>
          <w:rFonts w:hint="eastAsia" w:ascii="仿宋" w:hAnsi="仿宋" w:eastAsia="仿宋"/>
          <w:snapToGrid w:val="0"/>
          <w:kern w:val="0"/>
          <w:sz w:val="28"/>
        </w:rPr>
        <w:t>%的违约金。</w:t>
      </w:r>
    </w:p>
    <w:p>
      <w:pPr>
        <w:widowControl/>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9.1.5合同因乙方原因解除的，甲方有权停止支付并要求乙方退还甲方已支付的全部款项，且乙方应向甲方支付相当于技术服务报酬</w:t>
      </w:r>
      <w:permStart w:id="17" w:edGrp="everyone"/>
      <w:r>
        <w:rPr>
          <w:rFonts w:hint="eastAsia"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10</w:t>
      </w:r>
      <w:r>
        <w:rPr>
          <w:rFonts w:hint="eastAsia" w:ascii="仿宋" w:hAnsi="仿宋" w:eastAsia="仿宋"/>
          <w:snapToGrid w:val="0"/>
          <w:kern w:val="0"/>
          <w:sz w:val="28"/>
          <w:u w:val="single"/>
        </w:rPr>
        <w:t xml:space="preserve"> </w:t>
      </w:r>
      <w:permEnd w:id="17"/>
      <w:r>
        <w:rPr>
          <w:rFonts w:hint="eastAsia" w:ascii="仿宋" w:hAnsi="仿宋" w:eastAsia="仿宋"/>
          <w:snapToGrid w:val="0"/>
          <w:kern w:val="0"/>
          <w:sz w:val="28"/>
        </w:rPr>
        <w:t>%的违约金。</w:t>
      </w:r>
    </w:p>
    <w:p>
      <w:pPr>
        <w:widowControl/>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9.1.6乙方因违约需要向甲方支付违约金或赔偿损失的，甲方有权从任何一期合同应付款项中予以扣除。</w:t>
      </w:r>
    </w:p>
    <w:p>
      <w:pPr>
        <w:widowControl/>
        <w:wordWrap w:val="0"/>
        <w:spacing w:line="480" w:lineRule="exact"/>
        <w:ind w:firstLine="560"/>
        <w:rPr>
          <w:rFonts w:hint="eastAsia" w:ascii="仿宋" w:hAnsi="仿宋" w:eastAsia="仿宋"/>
          <w:snapToGrid w:val="0"/>
          <w:kern w:val="0"/>
          <w:sz w:val="28"/>
        </w:rPr>
      </w:pPr>
      <w:r>
        <w:rPr>
          <w:rFonts w:hint="eastAsia" w:ascii="仿宋" w:hAnsi="仿宋" w:eastAsia="仿宋"/>
          <w:snapToGrid w:val="0"/>
          <w:kern w:val="0"/>
          <w:sz w:val="28"/>
        </w:rPr>
        <w:t>9.2甲方不履行本合同义务或者履行义务不符合约定的，乙方有权要求甲方承担继续履行、支付违约金等违约责任。</w:t>
      </w:r>
    </w:p>
    <w:p>
      <w:pPr>
        <w:widowControl/>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9.2.1甲方不提供工作条件或提供的工作条件不符合约定，影响工作进度和质量，承担由此造成的项目延期、费用增加的责任。</w:t>
      </w:r>
    </w:p>
    <w:p>
      <w:pPr>
        <w:widowControl/>
        <w:wordWrap w:val="0"/>
        <w:spacing w:line="480" w:lineRule="exact"/>
        <w:ind w:firstLine="560" w:firstLineChars="200"/>
        <w:rPr>
          <w:rFonts w:hint="eastAsia" w:ascii="仿宋" w:hAnsi="仿宋" w:eastAsia="仿宋"/>
          <w:snapToGrid w:val="0"/>
          <w:kern w:val="0"/>
          <w:sz w:val="28"/>
          <w:szCs w:val="22"/>
        </w:rPr>
      </w:pPr>
      <w:r>
        <w:rPr>
          <w:rFonts w:hint="eastAsia" w:ascii="仿宋" w:hAnsi="仿宋" w:eastAsia="仿宋"/>
          <w:snapToGrid w:val="0"/>
          <w:kern w:val="0"/>
          <w:sz w:val="28"/>
        </w:rPr>
        <w:t>9.2.2</w:t>
      </w:r>
      <w:r>
        <w:rPr>
          <w:rFonts w:hint="eastAsia" w:ascii="仿宋" w:hAnsi="仿宋" w:eastAsia="仿宋"/>
          <w:snapToGrid w:val="0"/>
          <w:kern w:val="0"/>
          <w:sz w:val="28"/>
          <w:szCs w:val="22"/>
        </w:rPr>
        <w:t>甲方逾期支付技术服务报酬的，应就逾期部分向乙方支付按照</w:t>
      </w:r>
      <w:r>
        <w:rPr>
          <w:rFonts w:ascii="仿宋" w:hAnsi="仿宋" w:eastAsia="仿宋"/>
          <w:snapToGrid w:val="0"/>
          <w:kern w:val="0"/>
          <w:sz w:val="28"/>
          <w:szCs w:val="22"/>
        </w:rPr>
        <w:t>全国银行间同业拆借中心公布的同期贷款市场报价利率</w:t>
      </w:r>
      <w:r>
        <w:rPr>
          <w:rFonts w:hint="eastAsia" w:ascii="仿宋" w:hAnsi="仿宋" w:eastAsia="仿宋"/>
          <w:snapToGrid w:val="0"/>
          <w:kern w:val="0"/>
          <w:sz w:val="28"/>
          <w:szCs w:val="22"/>
        </w:rPr>
        <w:t>计算的逾期付款违约金。</w:t>
      </w:r>
    </w:p>
    <w:p>
      <w:pPr>
        <w:widowControl/>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9.2.3甲方无正当理由不接受工作成果的，已支付的报酬不得追回，未支付的报酬应当支付，并向乙方支付相当于技术服务报酬</w:t>
      </w:r>
      <w:permStart w:id="18" w:edGrp="everyone"/>
      <w:r>
        <w:rPr>
          <w:rFonts w:hint="eastAsia"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10</w:t>
      </w:r>
      <w:r>
        <w:rPr>
          <w:rFonts w:hint="eastAsia" w:ascii="仿宋" w:hAnsi="仿宋" w:eastAsia="仿宋"/>
          <w:snapToGrid w:val="0"/>
          <w:kern w:val="0"/>
          <w:sz w:val="28"/>
          <w:u w:val="single"/>
        </w:rPr>
        <w:t xml:space="preserve"> </w:t>
      </w:r>
      <w:permEnd w:id="18"/>
      <w:r>
        <w:rPr>
          <w:rFonts w:hint="eastAsia" w:ascii="仿宋" w:hAnsi="仿宋" w:eastAsia="仿宋"/>
          <w:snapToGrid w:val="0"/>
          <w:kern w:val="0"/>
          <w:sz w:val="28"/>
        </w:rPr>
        <w:t>%的违约金；甲方无正当理由逾期接受工作成果的，每逾期1天，应向乙方支付相当于技术服务报酬</w:t>
      </w:r>
      <w:permStart w:id="19" w:edGrp="everyone"/>
      <w:r>
        <w:rPr>
          <w:rFonts w:hint="eastAsia" w:ascii="仿宋" w:hAnsi="仿宋" w:eastAsia="仿宋"/>
          <w:snapToGrid w:val="0"/>
          <w:kern w:val="0"/>
          <w:sz w:val="28"/>
          <w:u w:val="single"/>
        </w:rPr>
        <w:t xml:space="preserve"> 0.</w:t>
      </w:r>
      <w:r>
        <w:rPr>
          <w:rFonts w:hint="eastAsia" w:ascii="仿宋" w:hAnsi="仿宋" w:eastAsia="仿宋"/>
          <w:snapToGrid w:val="0"/>
          <w:kern w:val="0"/>
          <w:sz w:val="28"/>
          <w:u w:val="single"/>
          <w:lang w:val="en-US" w:eastAsia="zh-CN"/>
        </w:rPr>
        <w:t>01</w:t>
      </w:r>
      <w:r>
        <w:rPr>
          <w:rFonts w:hint="eastAsia" w:ascii="仿宋" w:hAnsi="仿宋" w:eastAsia="仿宋"/>
          <w:snapToGrid w:val="0"/>
          <w:kern w:val="0"/>
          <w:sz w:val="28"/>
          <w:u w:val="single"/>
        </w:rPr>
        <w:t xml:space="preserve"> </w:t>
      </w:r>
      <w:permEnd w:id="19"/>
      <w:r>
        <w:rPr>
          <w:rFonts w:hint="eastAsia" w:ascii="仿宋" w:hAnsi="仿宋" w:eastAsia="仿宋"/>
          <w:snapToGrid w:val="0"/>
          <w:kern w:val="0"/>
          <w:sz w:val="28"/>
        </w:rPr>
        <w:t>%的违约金，逾期超过</w:t>
      </w:r>
      <w:permStart w:id="20" w:edGrp="everyone"/>
      <w:r>
        <w:rPr>
          <w:rFonts w:hint="eastAsia" w:ascii="仿宋" w:hAnsi="仿宋" w:eastAsia="仿宋"/>
          <w:snapToGrid w:val="0"/>
          <w:kern w:val="0"/>
          <w:sz w:val="28"/>
          <w:u w:val="single"/>
        </w:rPr>
        <w:t xml:space="preserve"> 10 </w:t>
      </w:r>
      <w:permEnd w:id="20"/>
      <w:r>
        <w:rPr>
          <w:rFonts w:hint="eastAsia" w:ascii="仿宋" w:hAnsi="仿宋" w:eastAsia="仿宋"/>
          <w:snapToGrid w:val="0"/>
          <w:kern w:val="0"/>
          <w:sz w:val="28"/>
        </w:rPr>
        <w:t>日的，乙方有权单方解除合同。</w:t>
      </w:r>
    </w:p>
    <w:p>
      <w:pPr>
        <w:widowControl/>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9.2.4甲方违反合同约定的保密义务，应承担一切法律责任并向乙方支付相当于技术服务报酬</w:t>
      </w:r>
      <w:permStart w:id="21" w:edGrp="everyone"/>
      <w:r>
        <w:rPr>
          <w:rFonts w:hint="eastAsia" w:ascii="仿宋" w:hAnsi="仿宋" w:eastAsia="仿宋"/>
          <w:snapToGrid w:val="0"/>
          <w:kern w:val="0"/>
          <w:sz w:val="28"/>
          <w:u w:val="single"/>
        </w:rPr>
        <w:t xml:space="preserve"> </w:t>
      </w:r>
      <w:r>
        <w:rPr>
          <w:rFonts w:hint="eastAsia" w:ascii="仿宋" w:hAnsi="仿宋" w:eastAsia="仿宋"/>
          <w:snapToGrid w:val="0"/>
          <w:kern w:val="0"/>
          <w:sz w:val="28"/>
          <w:u w:val="single"/>
          <w:lang w:val="en-US" w:eastAsia="zh-CN"/>
        </w:rPr>
        <w:t>10</w:t>
      </w:r>
      <w:r>
        <w:rPr>
          <w:rFonts w:hint="eastAsia" w:ascii="仿宋" w:hAnsi="仿宋" w:eastAsia="仿宋"/>
          <w:snapToGrid w:val="0"/>
          <w:kern w:val="0"/>
          <w:sz w:val="28"/>
          <w:u w:val="single"/>
        </w:rPr>
        <w:t xml:space="preserve"> </w:t>
      </w:r>
      <w:permEnd w:id="21"/>
      <w:r>
        <w:rPr>
          <w:rFonts w:hint="eastAsia" w:ascii="仿宋" w:hAnsi="仿宋" w:eastAsia="仿宋"/>
          <w:snapToGrid w:val="0"/>
          <w:kern w:val="0"/>
          <w:sz w:val="28"/>
        </w:rPr>
        <w:t>%的违约金。</w:t>
      </w:r>
    </w:p>
    <w:p>
      <w:pPr>
        <w:widowControl/>
        <w:wordWrap w:val="0"/>
        <w:spacing w:line="480" w:lineRule="exact"/>
        <w:ind w:firstLine="548" w:firstLineChars="196"/>
        <w:outlineLvl w:val="1"/>
        <w:rPr>
          <w:rFonts w:hint="eastAsia" w:ascii="黑体" w:eastAsia="黑体"/>
          <w:snapToGrid w:val="0"/>
          <w:kern w:val="0"/>
          <w:sz w:val="28"/>
        </w:rPr>
      </w:pPr>
      <w:bookmarkStart w:id="39" w:name="_Toc17204"/>
      <w:bookmarkStart w:id="40" w:name="_Toc374455091"/>
      <w:bookmarkStart w:id="41" w:name="_Toc363053367"/>
      <w:r>
        <w:rPr>
          <w:rFonts w:hint="eastAsia" w:ascii="黑体" w:eastAsia="黑体"/>
          <w:snapToGrid w:val="0"/>
          <w:kern w:val="0"/>
          <w:sz w:val="28"/>
        </w:rPr>
        <w:t>10.合同变更和解除</w:t>
      </w:r>
      <w:bookmarkEnd w:id="39"/>
      <w:bookmarkEnd w:id="40"/>
      <w:bookmarkEnd w:id="41"/>
    </w:p>
    <w:p>
      <w:pPr>
        <w:widowControl/>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10.1双方经协商一致可变更或解除合同，并以书面形式确定。</w:t>
      </w:r>
    </w:p>
    <w:p>
      <w:pPr>
        <w:widowControl/>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10.2有下列情形之一的，一方可以向另一方提出变更或解除合同的书面请求，另一方应当在10日内予以书面答复；逾期未予书面答复的，视为同意：</w:t>
      </w:r>
    </w:p>
    <w:p>
      <w:pPr>
        <w:widowControl/>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 xml:space="preserve">（1）因对方违约使合同不能继续履行或没有必要继续履行；     </w:t>
      </w:r>
    </w:p>
    <w:p>
      <w:pPr>
        <w:widowControl/>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（2）</w:t>
      </w:r>
      <w:permStart w:id="22" w:edGrp="everyone"/>
      <w:r>
        <w:rPr>
          <w:rFonts w:hint="eastAsia" w:ascii="仿宋" w:hAnsi="仿宋" w:eastAsia="仿宋"/>
          <w:snapToGrid w:val="0"/>
          <w:kern w:val="0"/>
          <w:sz w:val="28"/>
          <w:u w:val="single"/>
        </w:rPr>
        <w:t xml:space="preserve"> /    </w:t>
      </w:r>
      <w:permEnd w:id="22"/>
      <w:r>
        <w:rPr>
          <w:rFonts w:hint="eastAsia" w:ascii="仿宋" w:hAnsi="仿宋" w:eastAsia="仿宋"/>
          <w:snapToGrid w:val="0"/>
          <w:kern w:val="0"/>
          <w:sz w:val="28"/>
        </w:rPr>
        <w:t>。</w:t>
      </w:r>
    </w:p>
    <w:p>
      <w:pPr>
        <w:widowControl/>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10.3法律规定的合同解除情形出现时，一方主张解除合同的，应当书面通知对方。合同自通知到达对方时解除。</w:t>
      </w:r>
    </w:p>
    <w:p>
      <w:pPr>
        <w:widowControl/>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10.4本合同中约定可单方解除合同的，单方解除合同的条件成就时，享有解除权的一方可单方解除合同，但应书面通知对方。合同自通知到达对方时解除。</w:t>
      </w:r>
    </w:p>
    <w:p>
      <w:pPr>
        <w:widowControl/>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sz w:val="28"/>
        </w:rPr>
        <w:t>10.5 应不可抗力原因导致合同无法正常履行的情形时双方可协商解除合同</w:t>
      </w:r>
    </w:p>
    <w:p>
      <w:pPr>
        <w:widowControl/>
        <w:wordWrap w:val="0"/>
        <w:spacing w:line="480" w:lineRule="exact"/>
        <w:ind w:firstLine="548" w:firstLineChars="196"/>
        <w:outlineLvl w:val="1"/>
        <w:rPr>
          <w:rFonts w:hint="eastAsia" w:ascii="黑体" w:eastAsia="黑体"/>
          <w:snapToGrid w:val="0"/>
          <w:kern w:val="0"/>
          <w:sz w:val="28"/>
        </w:rPr>
      </w:pPr>
      <w:bookmarkStart w:id="42" w:name="_Toc374455092"/>
      <w:bookmarkStart w:id="43" w:name="_Toc32137"/>
      <w:bookmarkStart w:id="44" w:name="_Toc363053368"/>
      <w:r>
        <w:rPr>
          <w:rFonts w:hint="eastAsia" w:ascii="黑体" w:eastAsia="黑体"/>
          <w:snapToGrid w:val="0"/>
          <w:kern w:val="0"/>
          <w:sz w:val="28"/>
        </w:rPr>
        <w:t>11.争议解决</w:t>
      </w:r>
      <w:bookmarkEnd w:id="42"/>
      <w:bookmarkEnd w:id="43"/>
      <w:bookmarkEnd w:id="44"/>
    </w:p>
    <w:p>
      <w:pPr>
        <w:wordWrap w:val="0"/>
        <w:spacing w:line="480" w:lineRule="exact"/>
        <w:ind w:firstLine="560"/>
        <w:rPr>
          <w:rFonts w:hint="eastAsia" w:ascii="仿宋" w:hAnsi="仿宋" w:eastAsia="仿宋"/>
          <w:sz w:val="28"/>
          <w:highlight w:val="none"/>
        </w:rPr>
      </w:pPr>
      <w:r>
        <w:rPr>
          <w:rFonts w:hint="eastAsia" w:ascii="仿宋" w:hAnsi="仿宋" w:eastAsia="仿宋"/>
          <w:sz w:val="28"/>
        </w:rPr>
        <w:t>11.1因合同及合同有关事项发生的争议，双方应</w:t>
      </w:r>
      <w:r>
        <w:rPr>
          <w:rFonts w:hint="eastAsia" w:ascii="仿宋" w:hAnsi="仿宋" w:eastAsia="仿宋"/>
          <w:sz w:val="28"/>
          <w:highlight w:val="none"/>
        </w:rPr>
        <w:t>本着诚实信用原则，通过友好协商解决，经协商仍无法达成一致的，按以下第</w:t>
      </w:r>
      <w:permStart w:id="23" w:edGrp="everyone"/>
      <w:r>
        <w:rPr>
          <w:rFonts w:hint="eastAsia" w:ascii="仿宋" w:hAnsi="仿宋" w:eastAsia="仿宋"/>
          <w:sz w:val="28"/>
          <w:highlight w:val="none"/>
          <w:u w:val="single"/>
        </w:rPr>
        <w:t xml:space="preserve"> </w:t>
      </w:r>
      <w:r>
        <w:rPr>
          <w:rFonts w:hint="eastAsia" w:ascii="仿宋" w:hAnsi="仿宋" w:eastAsia="仿宋"/>
          <w:sz w:val="28"/>
          <w:highlight w:val="none"/>
          <w:u w:val="single"/>
          <w:lang w:val="en-US" w:eastAsia="zh-CN"/>
        </w:rPr>
        <w:t>1</w:t>
      </w:r>
      <w:r>
        <w:rPr>
          <w:rFonts w:hint="eastAsia" w:ascii="仿宋" w:hAnsi="仿宋" w:eastAsia="仿宋"/>
          <w:sz w:val="28"/>
          <w:highlight w:val="none"/>
          <w:u w:val="single"/>
        </w:rPr>
        <w:t xml:space="preserve"> </w:t>
      </w:r>
      <w:permEnd w:id="23"/>
      <w:r>
        <w:rPr>
          <w:rFonts w:hint="eastAsia" w:ascii="仿宋" w:hAnsi="仿宋" w:eastAsia="仿宋"/>
          <w:sz w:val="28"/>
          <w:highlight w:val="none"/>
        </w:rPr>
        <w:t>种方式处理：</w:t>
      </w:r>
    </w:p>
    <w:p>
      <w:pPr>
        <w:wordWrap w:val="0"/>
        <w:spacing w:line="480" w:lineRule="exact"/>
        <w:ind w:firstLine="560"/>
        <w:rPr>
          <w:rFonts w:hint="eastAsia" w:ascii="仿宋" w:hAnsi="仿宋" w:eastAsia="仿宋"/>
          <w:sz w:val="28"/>
          <w:highlight w:val="none"/>
        </w:rPr>
      </w:pPr>
      <w:r>
        <w:rPr>
          <w:rFonts w:hint="eastAsia" w:ascii="仿宋" w:hAnsi="仿宋" w:eastAsia="仿宋"/>
          <w:sz w:val="28"/>
          <w:highlight w:val="none"/>
        </w:rPr>
        <w:t>（1）提交</w:t>
      </w:r>
      <w:permStart w:id="24" w:edGrp="everyone"/>
      <w:r>
        <w:rPr>
          <w:rFonts w:hint="eastAsia" w:ascii="仿宋" w:hAnsi="仿宋" w:eastAsia="仿宋"/>
          <w:sz w:val="28"/>
          <w:highlight w:val="none"/>
          <w:u w:val="single"/>
        </w:rPr>
        <w:t xml:space="preserve">  </w:t>
      </w:r>
      <w:r>
        <w:rPr>
          <w:rFonts w:hint="eastAsia" w:ascii="仿宋" w:hAnsi="仿宋" w:eastAsia="仿宋"/>
          <w:sz w:val="28"/>
          <w:highlight w:val="none"/>
          <w:u w:val="single"/>
          <w:lang w:eastAsia="zh-CN"/>
        </w:rPr>
        <w:t>厦门</w:t>
      </w:r>
      <w:r>
        <w:rPr>
          <w:rFonts w:hint="eastAsia" w:ascii="仿宋" w:hAnsi="仿宋" w:eastAsia="仿宋"/>
          <w:sz w:val="28"/>
          <w:highlight w:val="none"/>
          <w:u w:val="single"/>
        </w:rPr>
        <w:t xml:space="preserve">  </w:t>
      </w:r>
      <w:permEnd w:id="24"/>
      <w:r>
        <w:rPr>
          <w:rFonts w:hint="eastAsia" w:ascii="仿宋" w:hAnsi="仿宋" w:eastAsia="仿宋"/>
          <w:sz w:val="28"/>
          <w:highlight w:val="none"/>
        </w:rPr>
        <w:t>仲裁委员会，按提交仲裁申请时该会有效仲裁规则，双方同意开庭地点设在福州。相关法律文书（含仲裁法律文书）的送交以邮递送达本合同记载的对方地址（如有变更，应书面通知对方及仲裁委员会）即视为送达。仲裁裁决是终局性的，对双方均具有约束力。守约方因维权所支出的费用（包括但不限于催收费用、仲裁费、保全费、公告费、执行费、律师费、差旅费、保险费、拍卖费、名誉损失费及其他费用）均由违约方承担。</w:t>
      </w:r>
    </w:p>
    <w:p>
      <w:pPr>
        <w:wordWrap w:val="0"/>
        <w:spacing w:line="480" w:lineRule="exact"/>
        <w:ind w:firstLine="560"/>
        <w:rPr>
          <w:rFonts w:hint="eastAsia" w:ascii="仿宋" w:hAnsi="仿宋" w:eastAsia="仿宋"/>
          <w:sz w:val="28"/>
          <w:highlight w:val="none"/>
        </w:rPr>
      </w:pPr>
      <w:r>
        <w:rPr>
          <w:rFonts w:hint="eastAsia" w:ascii="仿宋" w:hAnsi="仿宋" w:eastAsia="仿宋"/>
          <w:sz w:val="28"/>
          <w:highlight w:val="none"/>
        </w:rPr>
        <w:t>（2）诉讼：向</w:t>
      </w:r>
      <w:permStart w:id="25" w:edGrp="everyone"/>
      <w:r>
        <w:rPr>
          <w:rFonts w:hint="eastAsia" w:ascii="仿宋" w:hAnsi="仿宋" w:eastAsia="仿宋"/>
          <w:sz w:val="28"/>
          <w:highlight w:val="none"/>
          <w:u w:val="single"/>
        </w:rPr>
        <w:t xml:space="preserve">     </w:t>
      </w:r>
      <w:r>
        <w:rPr>
          <w:rFonts w:hint="eastAsia" w:ascii="仿宋" w:hAnsi="仿宋" w:eastAsia="仿宋"/>
          <w:sz w:val="28"/>
          <w:highlight w:val="none"/>
          <w:u w:val="single"/>
          <w:lang w:val="en-US" w:eastAsia="zh-CN"/>
        </w:rPr>
        <w:t>/</w:t>
      </w:r>
      <w:r>
        <w:rPr>
          <w:rFonts w:hint="eastAsia" w:ascii="仿宋" w:hAnsi="仿宋" w:eastAsia="仿宋"/>
          <w:sz w:val="28"/>
          <w:highlight w:val="none"/>
          <w:u w:val="single"/>
        </w:rPr>
        <w:t xml:space="preserve">     </w:t>
      </w:r>
      <w:permEnd w:id="25"/>
      <w:r>
        <w:rPr>
          <w:rFonts w:hint="eastAsia" w:ascii="仿宋" w:hAnsi="仿宋" w:eastAsia="仿宋"/>
          <w:sz w:val="28"/>
          <w:highlight w:val="none"/>
        </w:rPr>
        <w:t>所在地人民法院提起诉讼。</w:t>
      </w:r>
    </w:p>
    <w:p>
      <w:pPr>
        <w:wordWrap w:val="0"/>
        <w:spacing w:line="480" w:lineRule="exact"/>
        <w:ind w:firstLine="560"/>
        <w:rPr>
          <w:rFonts w:hint="eastAsia" w:ascii="仿宋" w:hAnsi="仿宋" w:eastAsia="仿宋"/>
          <w:snapToGrid w:val="0"/>
          <w:kern w:val="0"/>
          <w:sz w:val="28"/>
        </w:rPr>
      </w:pPr>
      <w:r>
        <w:rPr>
          <w:rFonts w:hint="eastAsia" w:ascii="仿宋" w:hAnsi="仿宋" w:eastAsia="仿宋"/>
          <w:sz w:val="28"/>
        </w:rPr>
        <w:t>11.2在争议解决期间，合同中未涉及争议部分的条款仍须履行。</w:t>
      </w:r>
      <w:r>
        <w:rPr>
          <w:rFonts w:hint="eastAsia" w:ascii="仿宋" w:hAnsi="仿宋" w:eastAsia="仿宋"/>
          <w:snapToGrid w:val="0"/>
          <w:kern w:val="0"/>
          <w:sz w:val="28"/>
        </w:rPr>
        <w:t xml:space="preserve"> </w:t>
      </w:r>
    </w:p>
    <w:p>
      <w:pPr>
        <w:widowControl/>
        <w:wordWrap w:val="0"/>
        <w:spacing w:line="480" w:lineRule="exact"/>
        <w:ind w:firstLine="548" w:firstLineChars="196"/>
        <w:outlineLvl w:val="1"/>
        <w:rPr>
          <w:rFonts w:hint="eastAsia" w:ascii="黑体" w:eastAsia="黑体"/>
          <w:snapToGrid w:val="0"/>
          <w:kern w:val="0"/>
          <w:sz w:val="28"/>
        </w:rPr>
      </w:pPr>
      <w:bookmarkStart w:id="45" w:name="_Toc363053369"/>
      <w:bookmarkStart w:id="46" w:name="_Toc374455093"/>
      <w:bookmarkStart w:id="47" w:name="_Toc26777"/>
      <w:r>
        <w:rPr>
          <w:rFonts w:hint="eastAsia" w:ascii="黑体" w:eastAsia="黑体"/>
          <w:snapToGrid w:val="0"/>
          <w:kern w:val="0"/>
          <w:sz w:val="28"/>
        </w:rPr>
        <w:t>12.名词和技术术语的定义和解释</w:t>
      </w:r>
      <w:bookmarkEnd w:id="45"/>
      <w:bookmarkEnd w:id="46"/>
      <w:bookmarkEnd w:id="47"/>
    </w:p>
    <w:p>
      <w:pPr>
        <w:widowControl/>
        <w:wordWrap w:val="0"/>
        <w:spacing w:line="480" w:lineRule="exact"/>
        <w:ind w:firstLine="560" w:firstLineChars="200"/>
        <w:rPr>
          <w:rFonts w:hint="eastAsia" w:ascii="仿宋" w:hAnsi="仿宋" w:eastAsia="仿宋"/>
          <w:snapToGrid w:val="0"/>
          <w:kern w:val="0"/>
          <w:sz w:val="28"/>
        </w:rPr>
      </w:pPr>
      <w:permStart w:id="26" w:edGrp="everyone"/>
      <w:r>
        <w:rPr>
          <w:rFonts w:hint="eastAsia" w:ascii="仿宋" w:hAnsi="仿宋" w:eastAsia="仿宋"/>
          <w:snapToGrid w:val="0"/>
          <w:kern w:val="0"/>
          <w:sz w:val="28"/>
        </w:rPr>
        <w:t>12.1</w:t>
      </w:r>
      <w:r>
        <w:rPr>
          <w:rFonts w:hint="eastAsia" w:ascii="仿宋" w:hAnsi="仿宋" w:eastAsia="仿宋"/>
          <w:snapToGrid w:val="0"/>
          <w:kern w:val="0"/>
          <w:sz w:val="28"/>
          <w:u w:val="single"/>
        </w:rPr>
        <w:t xml:space="preserve">  /              </w:t>
      </w:r>
      <w:r>
        <w:rPr>
          <w:rFonts w:hint="eastAsia" w:ascii="仿宋" w:hAnsi="仿宋" w:eastAsia="仿宋"/>
          <w:snapToGrid w:val="0"/>
          <w:kern w:val="0"/>
          <w:sz w:val="28"/>
        </w:rPr>
        <w:t>。</w:t>
      </w:r>
    </w:p>
    <w:p>
      <w:pPr>
        <w:widowControl/>
        <w:wordWrap w:val="0"/>
        <w:spacing w:line="480" w:lineRule="exact"/>
        <w:ind w:firstLine="560" w:firstLineChars="200"/>
        <w:rPr>
          <w:rFonts w:hint="eastAsia" w:ascii="仿宋_GB2312" w:eastAsia="仿宋_GB2312"/>
          <w:snapToGrid w:val="0"/>
          <w:kern w:val="0"/>
          <w:sz w:val="28"/>
          <w:u w:val="single"/>
        </w:rPr>
      </w:pPr>
      <w:r>
        <w:rPr>
          <w:rFonts w:hint="eastAsia" w:ascii="仿宋" w:hAnsi="仿宋" w:eastAsia="仿宋"/>
          <w:snapToGrid w:val="0"/>
          <w:kern w:val="0"/>
          <w:sz w:val="28"/>
        </w:rPr>
        <w:t>12.2</w:t>
      </w:r>
      <w:r>
        <w:rPr>
          <w:rFonts w:hint="eastAsia" w:ascii="仿宋" w:hAnsi="仿宋" w:eastAsia="仿宋"/>
          <w:snapToGrid w:val="0"/>
          <w:kern w:val="0"/>
          <w:sz w:val="28"/>
          <w:u w:val="single"/>
        </w:rPr>
        <w:t xml:space="preserve">  /                      </w:t>
      </w:r>
      <w:r>
        <w:rPr>
          <w:rFonts w:hint="eastAsia" w:ascii="仿宋" w:hAnsi="仿宋" w:eastAsia="仿宋"/>
          <w:snapToGrid w:val="0"/>
          <w:kern w:val="0"/>
          <w:sz w:val="28"/>
        </w:rPr>
        <w:t>。</w:t>
      </w:r>
    </w:p>
    <w:permEnd w:id="26"/>
    <w:p>
      <w:pPr>
        <w:widowControl/>
        <w:wordWrap w:val="0"/>
        <w:spacing w:line="480" w:lineRule="exact"/>
        <w:ind w:firstLine="548" w:firstLineChars="196"/>
        <w:outlineLvl w:val="1"/>
        <w:rPr>
          <w:rFonts w:hint="eastAsia" w:ascii="黑体" w:eastAsia="黑体"/>
          <w:snapToGrid w:val="0"/>
          <w:kern w:val="0"/>
          <w:sz w:val="28"/>
        </w:rPr>
      </w:pPr>
      <w:bookmarkStart w:id="48" w:name="_Toc25835"/>
      <w:bookmarkStart w:id="49" w:name="_Toc363053370"/>
      <w:bookmarkStart w:id="50" w:name="_Toc374455094"/>
      <w:r>
        <w:rPr>
          <w:rFonts w:hint="eastAsia" w:ascii="黑体" w:eastAsia="黑体"/>
          <w:snapToGrid w:val="0"/>
          <w:kern w:val="0"/>
          <w:sz w:val="28"/>
        </w:rPr>
        <w:t>13.本合同的组成部分</w:t>
      </w:r>
      <w:bookmarkEnd w:id="48"/>
      <w:bookmarkEnd w:id="49"/>
      <w:bookmarkEnd w:id="50"/>
    </w:p>
    <w:p>
      <w:pPr>
        <w:widowControl/>
        <w:wordWrap w:val="0"/>
        <w:spacing w:line="480" w:lineRule="exact"/>
        <w:ind w:firstLine="560"/>
        <w:rPr>
          <w:rFonts w:hint="eastAsia" w:ascii="仿宋" w:hAnsi="仿宋" w:eastAsia="仿宋"/>
          <w:snapToGrid w:val="0"/>
          <w:kern w:val="0"/>
          <w:sz w:val="28"/>
        </w:rPr>
      </w:pPr>
      <w:r>
        <w:rPr>
          <w:rFonts w:hint="eastAsia" w:ascii="仿宋" w:hAnsi="仿宋" w:eastAsia="仿宋"/>
          <w:snapToGrid w:val="0"/>
          <w:kern w:val="0"/>
          <w:sz w:val="28"/>
        </w:rPr>
        <w:t>与履行本合同有关的下列技术文件，经双方约定，作为本合同的组成部分。</w:t>
      </w:r>
    </w:p>
    <w:p>
      <w:pPr>
        <w:widowControl/>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13.1技术背景资料：</w:t>
      </w:r>
      <w:permStart w:id="27" w:edGrp="everyone"/>
      <w:r>
        <w:rPr>
          <w:rFonts w:hint="eastAsia" w:ascii="仿宋" w:hAnsi="仿宋" w:eastAsia="仿宋"/>
          <w:snapToGrid w:val="0"/>
          <w:kern w:val="0"/>
          <w:sz w:val="28"/>
          <w:u w:val="single"/>
        </w:rPr>
        <w:t xml:space="preserve"> /     </w:t>
      </w:r>
      <w:permEnd w:id="27"/>
      <w:r>
        <w:rPr>
          <w:rFonts w:hint="eastAsia" w:ascii="仿宋" w:hAnsi="仿宋" w:eastAsia="仿宋"/>
          <w:snapToGrid w:val="0"/>
          <w:kern w:val="0"/>
          <w:sz w:val="28"/>
        </w:rPr>
        <w:t>；</w:t>
      </w:r>
    </w:p>
    <w:p>
      <w:pPr>
        <w:widowControl/>
        <w:wordWrap w:val="0"/>
        <w:spacing w:line="480" w:lineRule="exact"/>
        <w:ind w:firstLine="560"/>
        <w:rPr>
          <w:rFonts w:hint="eastAsia" w:ascii="仿宋" w:hAnsi="仿宋" w:eastAsia="仿宋"/>
          <w:snapToGrid w:val="0"/>
          <w:kern w:val="0"/>
          <w:sz w:val="28"/>
        </w:rPr>
      </w:pPr>
      <w:r>
        <w:rPr>
          <w:rFonts w:hint="eastAsia" w:ascii="仿宋" w:hAnsi="仿宋" w:eastAsia="仿宋"/>
          <w:snapToGrid w:val="0"/>
          <w:kern w:val="0"/>
          <w:sz w:val="28"/>
        </w:rPr>
        <w:t>13.2可行性论证报告：</w:t>
      </w:r>
      <w:permStart w:id="28" w:edGrp="everyone"/>
      <w:r>
        <w:rPr>
          <w:rFonts w:hint="eastAsia" w:ascii="仿宋" w:hAnsi="仿宋" w:eastAsia="仿宋"/>
          <w:snapToGrid w:val="0"/>
          <w:kern w:val="0"/>
          <w:sz w:val="28"/>
          <w:u w:val="single"/>
        </w:rPr>
        <w:t xml:space="preserve">  /  </w:t>
      </w:r>
      <w:permEnd w:id="28"/>
      <w:r>
        <w:rPr>
          <w:rFonts w:hint="eastAsia" w:ascii="仿宋" w:hAnsi="仿宋" w:eastAsia="仿宋"/>
          <w:snapToGrid w:val="0"/>
          <w:kern w:val="0"/>
          <w:sz w:val="28"/>
        </w:rPr>
        <w:t xml:space="preserve">；    </w:t>
      </w:r>
    </w:p>
    <w:p>
      <w:pPr>
        <w:widowControl/>
        <w:wordWrap w:val="0"/>
        <w:spacing w:line="480" w:lineRule="exact"/>
        <w:ind w:firstLine="560"/>
        <w:rPr>
          <w:rFonts w:hint="eastAsia" w:ascii="仿宋" w:hAnsi="仿宋" w:eastAsia="仿宋"/>
          <w:snapToGrid w:val="0"/>
          <w:kern w:val="0"/>
          <w:sz w:val="28"/>
        </w:rPr>
      </w:pPr>
      <w:r>
        <w:rPr>
          <w:rFonts w:hint="eastAsia" w:ascii="仿宋" w:hAnsi="仿宋" w:eastAsia="仿宋"/>
          <w:snapToGrid w:val="0"/>
          <w:kern w:val="0"/>
          <w:sz w:val="28"/>
        </w:rPr>
        <w:t>13.3技术评价报告：</w:t>
      </w:r>
      <w:permStart w:id="29" w:edGrp="everyone"/>
      <w:r>
        <w:rPr>
          <w:rFonts w:hint="eastAsia" w:ascii="仿宋" w:hAnsi="仿宋" w:eastAsia="仿宋"/>
          <w:snapToGrid w:val="0"/>
          <w:kern w:val="0"/>
          <w:sz w:val="28"/>
          <w:u w:val="single"/>
        </w:rPr>
        <w:t xml:space="preserve"> /   </w:t>
      </w:r>
      <w:permEnd w:id="29"/>
      <w:r>
        <w:rPr>
          <w:rFonts w:hint="eastAsia" w:ascii="仿宋" w:hAnsi="仿宋" w:eastAsia="仿宋"/>
          <w:snapToGrid w:val="0"/>
          <w:kern w:val="0"/>
          <w:sz w:val="28"/>
        </w:rPr>
        <w:t xml:space="preserve">； </w:t>
      </w:r>
    </w:p>
    <w:p>
      <w:pPr>
        <w:widowControl/>
        <w:wordWrap w:val="0"/>
        <w:spacing w:line="480" w:lineRule="exact"/>
        <w:ind w:firstLine="560"/>
        <w:rPr>
          <w:rFonts w:hint="eastAsia" w:ascii="仿宋" w:hAnsi="仿宋" w:eastAsia="仿宋"/>
          <w:snapToGrid w:val="0"/>
          <w:kern w:val="0"/>
          <w:sz w:val="28"/>
        </w:rPr>
      </w:pPr>
      <w:r>
        <w:rPr>
          <w:rFonts w:hint="eastAsia" w:ascii="仿宋" w:hAnsi="仿宋" w:eastAsia="仿宋"/>
          <w:snapToGrid w:val="0"/>
          <w:kern w:val="0"/>
          <w:sz w:val="28"/>
        </w:rPr>
        <w:t>13.4技术标准和规范：</w:t>
      </w:r>
      <w:permStart w:id="30" w:edGrp="everyone"/>
      <w:r>
        <w:rPr>
          <w:rFonts w:hint="eastAsia" w:ascii="仿宋" w:hAnsi="仿宋" w:eastAsia="仿宋"/>
          <w:snapToGrid w:val="0"/>
          <w:kern w:val="0"/>
          <w:sz w:val="28"/>
          <w:u w:val="single"/>
        </w:rPr>
        <w:t xml:space="preserve">   /  </w:t>
      </w:r>
      <w:permEnd w:id="30"/>
      <w:r>
        <w:rPr>
          <w:rFonts w:hint="eastAsia" w:ascii="仿宋" w:hAnsi="仿宋" w:eastAsia="仿宋"/>
          <w:snapToGrid w:val="0"/>
          <w:kern w:val="0"/>
          <w:sz w:val="28"/>
        </w:rPr>
        <w:t>；</w:t>
      </w:r>
    </w:p>
    <w:p>
      <w:pPr>
        <w:widowControl/>
        <w:wordWrap w:val="0"/>
        <w:spacing w:line="480" w:lineRule="exact"/>
        <w:ind w:firstLine="560"/>
        <w:rPr>
          <w:rFonts w:hint="eastAsia" w:ascii="仿宋" w:hAnsi="仿宋" w:eastAsia="仿宋"/>
          <w:snapToGrid w:val="0"/>
          <w:kern w:val="0"/>
          <w:sz w:val="28"/>
        </w:rPr>
      </w:pPr>
      <w:r>
        <w:rPr>
          <w:rFonts w:hint="eastAsia" w:ascii="仿宋" w:hAnsi="仿宋" w:eastAsia="仿宋"/>
          <w:snapToGrid w:val="0"/>
          <w:kern w:val="0"/>
          <w:sz w:val="28"/>
        </w:rPr>
        <w:t>13.5原始设计和工艺文件：</w:t>
      </w:r>
      <w:permStart w:id="31" w:edGrp="everyone"/>
      <w:r>
        <w:rPr>
          <w:rFonts w:hint="eastAsia" w:ascii="仿宋" w:hAnsi="仿宋" w:eastAsia="仿宋"/>
          <w:snapToGrid w:val="0"/>
          <w:kern w:val="0"/>
          <w:sz w:val="28"/>
          <w:u w:val="single"/>
        </w:rPr>
        <w:t xml:space="preserve">   /  </w:t>
      </w:r>
      <w:permEnd w:id="31"/>
      <w:r>
        <w:rPr>
          <w:rFonts w:hint="eastAsia" w:ascii="仿宋" w:hAnsi="仿宋" w:eastAsia="仿宋"/>
          <w:snapToGrid w:val="0"/>
          <w:kern w:val="0"/>
          <w:sz w:val="28"/>
        </w:rPr>
        <w:t xml:space="preserve">；   </w:t>
      </w:r>
    </w:p>
    <w:p>
      <w:pPr>
        <w:widowControl/>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13.6其他：</w:t>
      </w:r>
      <w:permStart w:id="32" w:edGrp="everyone"/>
      <w:r>
        <w:rPr>
          <w:rFonts w:hint="eastAsia" w:ascii="仿宋" w:hAnsi="仿宋" w:eastAsia="仿宋"/>
          <w:snapToGrid w:val="0"/>
          <w:kern w:val="0"/>
          <w:sz w:val="28"/>
          <w:u w:val="single"/>
        </w:rPr>
        <w:t xml:space="preserve"> /   </w:t>
      </w:r>
      <w:permEnd w:id="32"/>
      <w:r>
        <w:rPr>
          <w:rFonts w:hint="eastAsia" w:ascii="仿宋" w:hAnsi="仿宋" w:eastAsia="仿宋"/>
          <w:snapToGrid w:val="0"/>
          <w:kern w:val="0"/>
          <w:sz w:val="28"/>
        </w:rPr>
        <w:t>。</w:t>
      </w:r>
    </w:p>
    <w:p>
      <w:pPr>
        <w:widowControl/>
        <w:wordWrap w:val="0"/>
        <w:spacing w:line="480" w:lineRule="exact"/>
        <w:ind w:firstLine="548" w:firstLineChars="196"/>
        <w:outlineLvl w:val="1"/>
        <w:rPr>
          <w:rFonts w:hint="eastAsia" w:ascii="黑体" w:eastAsia="黑体"/>
          <w:snapToGrid w:val="0"/>
          <w:kern w:val="0"/>
          <w:sz w:val="28"/>
        </w:rPr>
      </w:pPr>
      <w:bookmarkStart w:id="51" w:name="_Toc374455095"/>
      <w:bookmarkStart w:id="52" w:name="_Toc363053371"/>
      <w:bookmarkStart w:id="53" w:name="_Toc21598"/>
      <w:r>
        <w:rPr>
          <w:rFonts w:hint="eastAsia" w:ascii="黑体" w:eastAsia="黑体"/>
          <w:snapToGrid w:val="0"/>
          <w:kern w:val="0"/>
          <w:sz w:val="28"/>
        </w:rPr>
        <w:t>14.</w:t>
      </w:r>
      <w:bookmarkStart w:id="54" w:name="_Toc251677240"/>
      <w:bookmarkStart w:id="55" w:name="_Toc332123376"/>
      <w:r>
        <w:rPr>
          <w:rFonts w:hint="eastAsia" w:ascii="黑体" w:eastAsia="黑体"/>
          <w:snapToGrid w:val="0"/>
          <w:kern w:val="0"/>
          <w:sz w:val="28"/>
        </w:rPr>
        <w:t>其他</w:t>
      </w:r>
      <w:bookmarkEnd w:id="51"/>
      <w:bookmarkEnd w:id="52"/>
      <w:bookmarkEnd w:id="53"/>
      <w:r>
        <w:rPr>
          <w:rFonts w:hint="eastAsia" w:ascii="黑体" w:eastAsia="黑体"/>
          <w:snapToGrid w:val="0"/>
          <w:kern w:val="0"/>
          <w:sz w:val="28"/>
        </w:rPr>
        <w:t xml:space="preserve"> </w:t>
      </w:r>
    </w:p>
    <w:p>
      <w:pPr>
        <w:widowControl/>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14.1本合同经双方法定代表人（负责人）或其授权代表签署并加盖双方公章或合同专用章之日起生效。合同签订日期以双方中最后一方签署并加盖公章或合同专用章的日期为准。</w:t>
      </w:r>
    </w:p>
    <w:bookmarkEnd w:id="54"/>
    <w:bookmarkEnd w:id="55"/>
    <w:p>
      <w:pPr>
        <w:widowControl/>
        <w:wordWrap w:val="0"/>
        <w:spacing w:line="480" w:lineRule="exact"/>
        <w:ind w:firstLine="560" w:firstLineChars="200"/>
        <w:rPr>
          <w:rFonts w:hint="eastAsia" w:ascii="仿宋" w:hAnsi="仿宋" w:eastAsia="仿宋"/>
          <w:snapToGrid w:val="0"/>
          <w:kern w:val="0"/>
          <w:sz w:val="28"/>
        </w:rPr>
      </w:pPr>
      <w:bookmarkStart w:id="56" w:name="_Toc246906537"/>
      <w:bookmarkStart w:id="57" w:name="_Toc239494036"/>
      <w:bookmarkStart w:id="58" w:name="_Toc239498608"/>
      <w:bookmarkStart w:id="59" w:name="_Toc332123379"/>
      <w:r>
        <w:rPr>
          <w:rFonts w:hint="eastAsia" w:ascii="仿宋" w:hAnsi="仿宋" w:eastAsia="仿宋"/>
          <w:snapToGrid w:val="0"/>
          <w:kern w:val="0"/>
          <w:sz w:val="28"/>
        </w:rPr>
        <w:t>14.2本合同一式</w:t>
      </w:r>
      <w:permStart w:id="33" w:edGrp="everyone"/>
      <w:r>
        <w:rPr>
          <w:rFonts w:hint="eastAsia" w:ascii="仿宋" w:hAnsi="仿宋" w:eastAsia="仿宋"/>
          <w:snapToGrid w:val="0"/>
          <w:kern w:val="0"/>
          <w:sz w:val="28"/>
          <w:u w:val="single"/>
        </w:rPr>
        <w:t xml:space="preserve"> 陆  </w:t>
      </w:r>
      <w:permEnd w:id="33"/>
      <w:r>
        <w:rPr>
          <w:rFonts w:hint="eastAsia" w:ascii="仿宋" w:hAnsi="仿宋" w:eastAsia="仿宋"/>
          <w:snapToGrid w:val="0"/>
          <w:kern w:val="0"/>
          <w:sz w:val="28"/>
        </w:rPr>
        <w:t>份，甲方执</w:t>
      </w:r>
      <w:permStart w:id="34" w:edGrp="everyone"/>
      <w:r>
        <w:rPr>
          <w:rFonts w:hint="eastAsia" w:ascii="仿宋" w:hAnsi="仿宋" w:eastAsia="仿宋"/>
          <w:snapToGrid w:val="0"/>
          <w:kern w:val="0"/>
          <w:sz w:val="28"/>
          <w:u w:val="single"/>
        </w:rPr>
        <w:t xml:space="preserve">  叁 </w:t>
      </w:r>
      <w:permEnd w:id="34"/>
      <w:r>
        <w:rPr>
          <w:rFonts w:hint="eastAsia" w:ascii="仿宋" w:hAnsi="仿宋" w:eastAsia="仿宋"/>
          <w:snapToGrid w:val="0"/>
          <w:kern w:val="0"/>
          <w:sz w:val="28"/>
        </w:rPr>
        <w:t>份，乙方执</w:t>
      </w:r>
      <w:permStart w:id="35" w:edGrp="everyone"/>
      <w:r>
        <w:rPr>
          <w:rFonts w:hint="eastAsia" w:ascii="仿宋" w:hAnsi="仿宋" w:eastAsia="仿宋"/>
          <w:bCs/>
          <w:snapToGrid w:val="0"/>
          <w:kern w:val="0"/>
          <w:sz w:val="28"/>
          <w:u w:val="single"/>
        </w:rPr>
        <w:t xml:space="preserve"> 叁</w:t>
      </w:r>
      <w:r>
        <w:rPr>
          <w:rFonts w:hint="eastAsia" w:ascii="仿宋" w:hAnsi="仿宋" w:eastAsia="仿宋"/>
          <w:b/>
          <w:snapToGrid w:val="0"/>
          <w:kern w:val="0"/>
          <w:sz w:val="28"/>
          <w:u w:val="single"/>
        </w:rPr>
        <w:t xml:space="preserve">  </w:t>
      </w:r>
      <w:permEnd w:id="35"/>
      <w:r>
        <w:rPr>
          <w:rFonts w:hint="eastAsia" w:ascii="仿宋" w:hAnsi="仿宋" w:eastAsia="仿宋"/>
          <w:snapToGrid w:val="0"/>
          <w:kern w:val="0"/>
          <w:sz w:val="28"/>
        </w:rPr>
        <w:t>份，具有同等法律效力。</w:t>
      </w:r>
    </w:p>
    <w:p>
      <w:pPr>
        <w:widowControl/>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14.3特别约定</w:t>
      </w:r>
      <w:bookmarkEnd w:id="56"/>
      <w:bookmarkEnd w:id="57"/>
      <w:bookmarkEnd w:id="58"/>
      <w:bookmarkEnd w:id="59"/>
    </w:p>
    <w:p>
      <w:pPr>
        <w:widowControl/>
        <w:wordWrap w:val="0"/>
        <w:spacing w:line="480" w:lineRule="exact"/>
        <w:ind w:firstLine="560" w:firstLineChars="200"/>
        <w:rPr>
          <w:rFonts w:hint="eastAsia" w:ascii="仿宋" w:hAnsi="仿宋" w:eastAsia="仿宋"/>
          <w:snapToGrid w:val="0"/>
          <w:kern w:val="0"/>
          <w:sz w:val="28"/>
        </w:rPr>
      </w:pPr>
      <w:r>
        <w:rPr>
          <w:rFonts w:hint="eastAsia" w:ascii="仿宋" w:hAnsi="仿宋" w:eastAsia="仿宋"/>
          <w:snapToGrid w:val="0"/>
          <w:kern w:val="0"/>
          <w:sz w:val="28"/>
        </w:rPr>
        <w:t xml:space="preserve">本特别约定是合同各方经协商后对合同其他条款的修改或补充，如有不一致，以特别约定为准。 </w:t>
      </w:r>
    </w:p>
    <w:p>
      <w:pPr>
        <w:widowControl/>
        <w:wordWrap w:val="0"/>
        <w:spacing w:line="480" w:lineRule="exact"/>
        <w:ind w:firstLine="560" w:firstLineChars="200"/>
        <w:rPr>
          <w:rFonts w:hint="eastAsia" w:ascii="仿宋" w:hAnsi="仿宋" w:eastAsia="仿宋"/>
          <w:snapToGrid w:val="0"/>
          <w:kern w:val="0"/>
          <w:sz w:val="28"/>
        </w:rPr>
      </w:pPr>
      <w:permStart w:id="36" w:edGrp="everyone"/>
      <w:r>
        <w:rPr>
          <w:rFonts w:hint="eastAsia" w:ascii="仿宋" w:hAnsi="仿宋" w:eastAsia="仿宋"/>
          <w:snapToGrid w:val="0"/>
          <w:kern w:val="0"/>
          <w:sz w:val="28"/>
          <w:u w:val="single"/>
        </w:rPr>
        <w:t xml:space="preserve">双方约定，若国家出台新的税收政策，则按新政策执行。 </w:t>
      </w:r>
      <w:permEnd w:id="36"/>
      <w:r>
        <w:rPr>
          <w:rFonts w:hint="eastAsia" w:ascii="仿宋" w:hAnsi="仿宋" w:eastAsia="仿宋"/>
          <w:snapToGrid w:val="0"/>
          <w:kern w:val="0"/>
          <w:sz w:val="28"/>
        </w:rPr>
        <w:t>。</w:t>
      </w:r>
    </w:p>
    <w:p>
      <w:pPr>
        <w:pStyle w:val="21"/>
        <w:tabs>
          <w:tab w:val="left" w:pos="0"/>
          <w:tab w:val="left" w:pos="993"/>
          <w:tab w:val="left" w:pos="1134"/>
        </w:tabs>
        <w:ind w:left="0"/>
        <w:rPr>
          <w:rFonts w:hint="eastAsia" w:ascii="Times New Roman" w:hAnsi="Times New Roman" w:eastAsia="宋体" w:cs="Times New Roman"/>
          <w:kern w:val="2"/>
          <w:sz w:val="24"/>
          <w:szCs w:val="22"/>
          <w:highlight w:val="none"/>
          <w:lang w:val="en-US" w:eastAsia="zh-CN" w:bidi="ar-SA"/>
        </w:rPr>
      </w:pPr>
      <w:r>
        <w:rPr>
          <w:rFonts w:hint="eastAsia"/>
          <w:b/>
          <w:sz w:val="28"/>
          <w:szCs w:val="28"/>
          <w:highlight w:val="none"/>
        </w:rPr>
        <w:t xml:space="preserve"> </w:t>
      </w:r>
      <w:r>
        <w:rPr>
          <w:rFonts w:hint="eastAsia"/>
          <w:b/>
          <w:sz w:val="28"/>
          <w:szCs w:val="28"/>
          <w:highlight w:val="none"/>
          <w:lang w:eastAsia="zh-CN"/>
        </w:rPr>
        <w:t>附件</w:t>
      </w:r>
    </w:p>
    <w:p>
      <w:pPr>
        <w:pStyle w:val="21"/>
        <w:tabs>
          <w:tab w:val="left" w:pos="0"/>
          <w:tab w:val="left" w:pos="993"/>
          <w:tab w:val="left" w:pos="1134"/>
        </w:tabs>
        <w:rPr>
          <w:rFonts w:hint="eastAsia" w:ascii="Calibri" w:hAnsi="Calibri" w:eastAsia="宋体" w:cs="Times New Roman"/>
          <w:kern w:val="2"/>
          <w:sz w:val="24"/>
          <w:szCs w:val="22"/>
          <w:highlight w:val="none"/>
          <w:lang w:val="en-US" w:eastAsia="zh-CN" w:bidi="ar-SA"/>
        </w:rPr>
      </w:pPr>
      <w:r>
        <w:rPr>
          <w:rFonts w:hint="eastAsia" w:ascii="Calibri" w:hAnsi="Calibri" w:eastAsia="宋体" w:cs="Times New Roman"/>
          <w:kern w:val="2"/>
          <w:sz w:val="24"/>
          <w:szCs w:val="22"/>
          <w:highlight w:val="none"/>
          <w:lang w:val="en-US" w:eastAsia="zh-CN" w:bidi="ar-SA"/>
        </w:rPr>
        <w:t>附件一：技术规范书</w:t>
      </w:r>
    </w:p>
    <w:p>
      <w:pPr>
        <w:pStyle w:val="21"/>
        <w:tabs>
          <w:tab w:val="left" w:pos="0"/>
          <w:tab w:val="left" w:pos="993"/>
          <w:tab w:val="left" w:pos="1134"/>
        </w:tabs>
        <w:rPr>
          <w:rFonts w:hint="eastAsia" w:ascii="Calibri" w:hAnsi="Calibri" w:eastAsia="宋体" w:cs="Times New Roman"/>
          <w:kern w:val="2"/>
          <w:sz w:val="24"/>
          <w:szCs w:val="22"/>
          <w:highlight w:val="none"/>
          <w:lang w:val="en-US" w:eastAsia="zh-CN" w:bidi="ar-SA"/>
        </w:rPr>
      </w:pPr>
      <w:r>
        <w:rPr>
          <w:rFonts w:hint="eastAsia" w:ascii="Calibri" w:hAnsi="Calibri" w:eastAsia="宋体" w:cs="Times New Roman"/>
          <w:kern w:val="2"/>
          <w:sz w:val="24"/>
          <w:szCs w:val="22"/>
          <w:highlight w:val="none"/>
          <w:lang w:val="en-US" w:eastAsia="zh-CN" w:bidi="ar-SA"/>
        </w:rPr>
        <w:t>附件二：廉洁协议</w:t>
      </w:r>
      <w:r>
        <w:rPr>
          <w:rFonts w:hint="eastAsia" w:ascii="Calibri" w:eastAsia="宋体" w:cs="Times New Roman"/>
          <w:kern w:val="2"/>
          <w:sz w:val="24"/>
          <w:szCs w:val="22"/>
          <w:highlight w:val="none"/>
          <w:lang w:val="en-US" w:eastAsia="zh-CN" w:bidi="ar-SA"/>
        </w:rPr>
        <w:t>书</w:t>
      </w:r>
    </w:p>
    <w:p>
      <w:pPr>
        <w:pStyle w:val="21"/>
        <w:tabs>
          <w:tab w:val="left" w:pos="0"/>
          <w:tab w:val="left" w:pos="993"/>
          <w:tab w:val="left" w:pos="1134"/>
        </w:tabs>
        <w:rPr>
          <w:rFonts w:hint="eastAsia" w:ascii="Calibri" w:hAnsi="Calibri" w:eastAsia="宋体" w:cs="Times New Roman"/>
          <w:kern w:val="2"/>
          <w:sz w:val="24"/>
          <w:szCs w:val="22"/>
          <w:highlight w:val="none"/>
          <w:lang w:val="en-US" w:eastAsia="zh-CN" w:bidi="ar-SA"/>
        </w:rPr>
      </w:pPr>
      <w:r>
        <w:rPr>
          <w:rFonts w:hint="eastAsia" w:ascii="Calibri" w:hAnsi="Calibri" w:eastAsia="宋体" w:cs="Times New Roman"/>
          <w:kern w:val="2"/>
          <w:sz w:val="24"/>
          <w:szCs w:val="22"/>
          <w:highlight w:val="none"/>
          <w:lang w:val="en-US" w:eastAsia="zh-CN" w:bidi="ar-SA"/>
        </w:rPr>
        <w:t>附件三：安健环管理协议</w:t>
      </w:r>
    </w:p>
    <w:p>
      <w:pPr>
        <w:pStyle w:val="11"/>
        <w:ind w:firstLine="562" w:firstLineChars="200"/>
        <w:rPr>
          <w:rFonts w:hint="eastAsia" w:ascii="宋体" w:hAnsi="宋体" w:eastAsia="宋体" w:cs="宋体"/>
          <w:b/>
          <w:bCs/>
          <w:spacing w:val="20"/>
          <w:sz w:val="24"/>
          <w:szCs w:val="24"/>
          <w:lang w:eastAsia="zh-CN"/>
        </w:rPr>
      </w:pPr>
    </w:p>
    <w:p>
      <w:pPr>
        <w:pStyle w:val="11"/>
        <w:ind w:firstLine="562" w:firstLineChars="200"/>
        <w:rPr>
          <w:rFonts w:hint="eastAsia" w:ascii="宋体" w:hAnsi="宋体" w:eastAsia="宋体" w:cs="宋体"/>
          <w:b/>
          <w:bCs/>
          <w:spacing w:val="20"/>
          <w:sz w:val="24"/>
          <w:szCs w:val="24"/>
          <w:lang w:eastAsia="zh-CN"/>
        </w:rPr>
      </w:pPr>
    </w:p>
    <w:p>
      <w:pPr>
        <w:pStyle w:val="11"/>
        <w:ind w:firstLine="562" w:firstLineChars="200"/>
        <w:rPr>
          <w:rFonts w:hint="eastAsia" w:ascii="宋体" w:hAnsi="宋体" w:eastAsia="宋体" w:cs="宋体"/>
          <w:b/>
          <w:bCs/>
          <w:spacing w:val="20"/>
          <w:sz w:val="24"/>
          <w:szCs w:val="24"/>
          <w:lang w:eastAsia="zh-CN"/>
        </w:rPr>
      </w:pPr>
    </w:p>
    <w:p>
      <w:pPr>
        <w:pStyle w:val="11"/>
        <w:ind w:firstLine="562" w:firstLineChars="200"/>
        <w:rPr>
          <w:rFonts w:hint="eastAsia" w:ascii="宋体" w:hAnsi="宋体" w:eastAsia="宋体" w:cs="宋体"/>
          <w:b/>
          <w:bCs/>
          <w:spacing w:val="20"/>
          <w:sz w:val="24"/>
          <w:szCs w:val="24"/>
          <w:lang w:eastAsia="zh-CN"/>
        </w:rPr>
      </w:pPr>
    </w:p>
    <w:p>
      <w:pPr>
        <w:pStyle w:val="11"/>
        <w:ind w:firstLine="562" w:firstLineChars="200"/>
        <w:rPr>
          <w:rFonts w:hint="eastAsia" w:ascii="宋体" w:hAnsi="宋体" w:eastAsia="宋体" w:cs="宋体"/>
          <w:b/>
          <w:bCs/>
          <w:spacing w:val="20"/>
          <w:sz w:val="24"/>
          <w:szCs w:val="24"/>
          <w:lang w:eastAsia="zh-CN"/>
        </w:rPr>
      </w:pPr>
    </w:p>
    <w:p>
      <w:pPr>
        <w:rPr>
          <w:rFonts w:hint="eastAsia"/>
          <w:lang w:eastAsia="zh-CN"/>
        </w:rPr>
      </w:pPr>
    </w:p>
    <w:p>
      <w:pPr>
        <w:pStyle w:val="11"/>
        <w:ind w:firstLine="562" w:firstLineChars="200"/>
        <w:rPr>
          <w:rFonts w:hint="eastAsia" w:ascii="宋体" w:hAnsi="宋体" w:eastAsia="宋体" w:cs="宋体"/>
          <w:b/>
          <w:bCs/>
          <w:spacing w:val="20"/>
          <w:sz w:val="24"/>
          <w:szCs w:val="24"/>
          <w:lang w:eastAsia="zh-CN"/>
        </w:rPr>
      </w:pPr>
    </w:p>
    <w:p>
      <w:pPr>
        <w:pStyle w:val="11"/>
        <w:ind w:firstLine="562" w:firstLineChars="200"/>
        <w:rPr>
          <w:rFonts w:hint="eastAsia" w:ascii="宋体" w:hAnsi="宋体" w:eastAsia="宋体" w:cs="宋体"/>
          <w:b/>
          <w:bCs/>
          <w:spacing w:val="20"/>
          <w:sz w:val="24"/>
          <w:szCs w:val="24"/>
          <w:lang w:eastAsia="zh-CN"/>
        </w:rPr>
      </w:pPr>
      <w:r>
        <w:rPr>
          <w:rFonts w:hint="eastAsia" w:ascii="宋体" w:hAnsi="宋体" w:eastAsia="宋体" w:cs="宋体"/>
          <w:b/>
          <w:bCs/>
          <w:spacing w:val="20"/>
          <w:sz w:val="24"/>
          <w:szCs w:val="24"/>
          <w:lang w:eastAsia="zh-CN"/>
        </w:rPr>
        <w:t>签署页</w:t>
      </w:r>
    </w:p>
    <w:tbl>
      <w:tblPr>
        <w:tblStyle w:val="31"/>
        <w:tblpPr w:leftFromText="180" w:rightFromText="180" w:vertAnchor="text" w:horzAnchor="page" w:tblpX="2094" w:tblpY="18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4261" w:type="dxa"/>
            <w:vAlign w:val="top"/>
          </w:tcPr>
          <w:p>
            <w:pPr>
              <w:pStyle w:val="15"/>
              <w:spacing w:line="480" w:lineRule="auto"/>
              <w:ind w:left="0" w:leftChars="0" w:firstLine="0" w:firstLineChars="0"/>
              <w:jc w:val="left"/>
              <w:rPr>
                <w:rFonts w:hint="eastAsia" w:hAnsi="宋体"/>
                <w:b/>
                <w:bCs/>
                <w:sz w:val="24"/>
                <w:szCs w:val="24"/>
                <w:highlight w:val="none"/>
              </w:rPr>
            </w:pPr>
            <w:r>
              <w:rPr>
                <w:rFonts w:hint="eastAsia" w:hAnsi="宋体"/>
                <w:b/>
                <w:bCs/>
                <w:sz w:val="24"/>
                <w:szCs w:val="24"/>
                <w:highlight w:val="none"/>
              </w:rPr>
              <w:t>甲方：</w:t>
            </w:r>
            <w:r>
              <w:rPr>
                <w:rFonts w:hint="eastAsia" w:hAnsi="宋体"/>
                <w:b/>
                <w:bCs/>
                <w:sz w:val="24"/>
                <w:szCs w:val="24"/>
                <w:highlight w:val="none"/>
                <w:lang w:val="en-US" w:eastAsia="zh-CN"/>
              </w:rPr>
              <w:t>福建省福能</w:t>
            </w:r>
            <w:r>
              <w:rPr>
                <w:rFonts w:hint="eastAsia" w:hAnsi="宋体"/>
                <w:b/>
                <w:bCs/>
                <w:sz w:val="24"/>
                <w:szCs w:val="24"/>
                <w:highlight w:val="none"/>
                <w:lang w:eastAsia="zh-CN"/>
              </w:rPr>
              <w:t>海峡发电有限公司</w:t>
            </w:r>
            <w:r>
              <w:rPr>
                <w:rFonts w:hint="eastAsia" w:hAnsi="宋体"/>
                <w:sz w:val="24"/>
                <w:szCs w:val="24"/>
                <w:highlight w:val="none"/>
                <w:lang w:val="en-US" w:eastAsia="zh-CN"/>
              </w:rPr>
              <w:t xml:space="preserve">  </w:t>
            </w:r>
            <w:r>
              <w:rPr>
                <w:rFonts w:hint="eastAsia" w:hAnsi="宋体"/>
                <w:b/>
                <w:bCs/>
                <w:sz w:val="24"/>
                <w:szCs w:val="24"/>
                <w:highlight w:val="none"/>
              </w:rPr>
              <w:t>（盖章）</w:t>
            </w:r>
          </w:p>
          <w:p>
            <w:pPr>
              <w:pStyle w:val="15"/>
              <w:spacing w:line="480" w:lineRule="auto"/>
              <w:ind w:left="0" w:leftChars="0" w:firstLine="0" w:firstLineChars="0"/>
              <w:jc w:val="left"/>
              <w:rPr>
                <w:rFonts w:hint="eastAsia" w:hAnsi="宋体"/>
                <w:sz w:val="24"/>
                <w:szCs w:val="24"/>
                <w:highlight w:val="none"/>
                <w:lang w:eastAsia="zh-CN"/>
              </w:rPr>
            </w:pPr>
            <w:r>
              <w:rPr>
                <w:rFonts w:hint="eastAsia" w:hAnsi="宋体"/>
                <w:sz w:val="24"/>
                <w:szCs w:val="24"/>
                <w:highlight w:val="none"/>
                <w:lang w:eastAsia="zh-CN"/>
              </w:rPr>
              <w:t>负责人</w:t>
            </w:r>
            <w:r>
              <w:rPr>
                <w:rFonts w:hint="eastAsia" w:hAnsi="宋体"/>
                <w:sz w:val="24"/>
                <w:szCs w:val="24"/>
                <w:highlight w:val="none"/>
              </w:rPr>
              <w:t>（签字）</w:t>
            </w:r>
            <w:r>
              <w:rPr>
                <w:rFonts w:hint="eastAsia" w:hAnsi="宋体"/>
                <w:sz w:val="24"/>
                <w:szCs w:val="24"/>
                <w:highlight w:val="none"/>
                <w:lang w:eastAsia="zh-CN"/>
              </w:rPr>
              <w:t>：</w:t>
            </w:r>
          </w:p>
          <w:p>
            <w:pPr>
              <w:pStyle w:val="15"/>
              <w:spacing w:line="480" w:lineRule="auto"/>
              <w:ind w:left="0" w:leftChars="0" w:firstLine="0" w:firstLineChars="0"/>
              <w:jc w:val="left"/>
              <w:rPr>
                <w:rFonts w:hint="eastAsia" w:hAnsi="宋体"/>
                <w:sz w:val="24"/>
                <w:szCs w:val="24"/>
                <w:highlight w:val="none"/>
              </w:rPr>
            </w:pPr>
            <w:r>
              <w:rPr>
                <w:rFonts w:hint="eastAsia" w:hAnsi="宋体"/>
                <w:sz w:val="24"/>
                <w:szCs w:val="24"/>
                <w:highlight w:val="none"/>
                <w:lang w:eastAsia="zh-CN"/>
              </w:rPr>
              <w:t>或委托代理人</w:t>
            </w:r>
            <w:r>
              <w:rPr>
                <w:rFonts w:hint="eastAsia" w:hAnsi="宋体"/>
                <w:sz w:val="24"/>
                <w:szCs w:val="24"/>
                <w:highlight w:val="none"/>
              </w:rPr>
              <w:t>（签字）：</w:t>
            </w:r>
          </w:p>
          <w:p>
            <w:pPr>
              <w:pStyle w:val="15"/>
              <w:spacing w:line="480" w:lineRule="auto"/>
              <w:ind w:left="0" w:leftChars="0" w:firstLine="0" w:firstLineChars="0"/>
              <w:jc w:val="left"/>
              <w:rPr>
                <w:rFonts w:hint="eastAsia" w:hAnsi="宋体"/>
                <w:sz w:val="24"/>
                <w:szCs w:val="24"/>
                <w:highlight w:val="none"/>
              </w:rPr>
            </w:pPr>
            <w:r>
              <w:rPr>
                <w:rFonts w:hint="eastAsia" w:hAnsi="宋体"/>
                <w:sz w:val="24"/>
                <w:szCs w:val="24"/>
                <w:highlight w:val="none"/>
              </w:rPr>
              <w:t>签订时间：</w:t>
            </w:r>
            <w:r>
              <w:rPr>
                <w:rFonts w:hint="eastAsia" w:hAnsi="宋体"/>
                <w:sz w:val="24"/>
                <w:szCs w:val="24"/>
                <w:highlight w:val="none"/>
                <w:lang w:val="en-US" w:eastAsia="zh-CN"/>
              </w:rPr>
              <w:t>202</w:t>
            </w:r>
            <w:r>
              <w:rPr>
                <w:rFonts w:hint="eastAsia" w:hAnsi="宋体"/>
                <w:sz w:val="24"/>
                <w:szCs w:val="24"/>
                <w:highlight w:val="none"/>
              </w:rPr>
              <w:t>5年   月   日</w:t>
            </w:r>
          </w:p>
          <w:p>
            <w:pPr>
              <w:pStyle w:val="15"/>
              <w:spacing w:line="360" w:lineRule="auto"/>
              <w:ind w:left="0" w:leftChars="0" w:firstLine="0" w:firstLineChars="0"/>
              <w:jc w:val="left"/>
              <w:rPr>
                <w:rFonts w:hint="eastAsia" w:hAnsi="宋体"/>
                <w:sz w:val="24"/>
                <w:szCs w:val="24"/>
                <w:highlight w:val="none"/>
              </w:rPr>
            </w:pPr>
            <w:r>
              <w:rPr>
                <w:rFonts w:hint="eastAsia" w:hAnsi="宋体"/>
                <w:sz w:val="24"/>
                <w:szCs w:val="24"/>
                <w:highlight w:val="none"/>
              </w:rPr>
              <w:t>地址：</w:t>
            </w:r>
            <w:r>
              <w:rPr>
                <w:rFonts w:hint="eastAsia" w:hAnsi="宋体"/>
                <w:bCs/>
                <w:sz w:val="24"/>
                <w:szCs w:val="24"/>
                <w:highlight w:val="none"/>
              </w:rPr>
              <w:t>福建省福州市长乐区文武砂街道二站村北路76号中国东南大数据产业园研发楼三期8号楼</w:t>
            </w:r>
          </w:p>
          <w:p>
            <w:pPr>
              <w:pStyle w:val="15"/>
              <w:spacing w:line="360" w:lineRule="auto"/>
              <w:ind w:left="0" w:leftChars="0" w:firstLine="0" w:firstLineChars="0"/>
              <w:jc w:val="left"/>
              <w:rPr>
                <w:rFonts w:hint="eastAsia" w:hAnsi="宋体"/>
                <w:sz w:val="24"/>
                <w:szCs w:val="24"/>
                <w:highlight w:val="none"/>
              </w:rPr>
            </w:pPr>
            <w:r>
              <w:rPr>
                <w:rFonts w:hint="eastAsia" w:hAnsi="宋体"/>
                <w:sz w:val="24"/>
                <w:szCs w:val="24"/>
                <w:highlight w:val="none"/>
              </w:rPr>
              <w:t>邮政编码：350001</w:t>
            </w:r>
          </w:p>
          <w:p>
            <w:pPr>
              <w:pStyle w:val="15"/>
              <w:spacing w:line="360" w:lineRule="auto"/>
              <w:ind w:left="0" w:leftChars="0" w:firstLine="0" w:firstLineChars="0"/>
              <w:jc w:val="left"/>
              <w:rPr>
                <w:rFonts w:hint="eastAsia" w:hAnsi="宋体"/>
                <w:sz w:val="24"/>
                <w:szCs w:val="24"/>
                <w:highlight w:val="none"/>
              </w:rPr>
            </w:pPr>
            <w:r>
              <w:rPr>
                <w:rFonts w:hint="eastAsia" w:hAnsi="宋体"/>
                <w:sz w:val="24"/>
                <w:szCs w:val="24"/>
                <w:highlight w:val="none"/>
              </w:rPr>
              <w:t>电话：0591-63326060</w:t>
            </w:r>
          </w:p>
          <w:p>
            <w:pPr>
              <w:pStyle w:val="15"/>
              <w:spacing w:line="360" w:lineRule="auto"/>
              <w:ind w:left="0" w:leftChars="0" w:firstLine="0" w:firstLineChars="0"/>
              <w:jc w:val="left"/>
              <w:rPr>
                <w:rFonts w:hint="eastAsia" w:hAnsi="宋体"/>
                <w:sz w:val="24"/>
                <w:szCs w:val="24"/>
                <w:highlight w:val="none"/>
              </w:rPr>
            </w:pPr>
            <w:r>
              <w:rPr>
                <w:rFonts w:hint="eastAsia" w:hAnsi="宋体"/>
                <w:sz w:val="24"/>
                <w:szCs w:val="24"/>
                <w:highlight w:val="none"/>
              </w:rPr>
              <w:t>开户行：中国建设银行股份有限公司长乐支行</w:t>
            </w:r>
            <w:r>
              <w:rPr>
                <w:rFonts w:hint="eastAsia" w:hAnsi="宋体"/>
                <w:sz w:val="24"/>
                <w:szCs w:val="24"/>
                <w:highlight w:val="none"/>
                <w:lang w:val="en-US" w:eastAsia="zh-CN"/>
              </w:rPr>
              <w:t xml:space="preserve"> </w:t>
            </w:r>
          </w:p>
          <w:p>
            <w:pPr>
              <w:pStyle w:val="15"/>
              <w:spacing w:line="360" w:lineRule="auto"/>
              <w:ind w:left="0" w:leftChars="0" w:firstLine="0" w:firstLineChars="0"/>
              <w:jc w:val="left"/>
              <w:rPr>
                <w:rFonts w:hint="eastAsia" w:hAnsi="宋体"/>
                <w:sz w:val="24"/>
                <w:szCs w:val="24"/>
                <w:highlight w:val="none"/>
                <w:lang w:eastAsia="zh-CN"/>
              </w:rPr>
            </w:pPr>
            <w:r>
              <w:rPr>
                <w:rFonts w:hint="eastAsia" w:hAnsi="宋体"/>
                <w:sz w:val="24"/>
                <w:szCs w:val="24"/>
                <w:highlight w:val="none"/>
              </w:rPr>
              <w:t>户名：</w:t>
            </w:r>
            <w:r>
              <w:rPr>
                <w:rFonts w:hint="eastAsia" w:hAnsi="宋体"/>
                <w:sz w:val="24"/>
                <w:szCs w:val="24"/>
                <w:highlight w:val="none"/>
                <w:lang w:val="en-US" w:eastAsia="zh-CN"/>
              </w:rPr>
              <w:t>福建省福能</w:t>
            </w:r>
            <w:r>
              <w:rPr>
                <w:rFonts w:hint="eastAsia" w:hAnsi="宋体"/>
                <w:sz w:val="24"/>
                <w:szCs w:val="24"/>
                <w:highlight w:val="none"/>
                <w:lang w:eastAsia="zh-CN"/>
              </w:rPr>
              <w:t>海峡发电有限公司</w:t>
            </w:r>
          </w:p>
          <w:p>
            <w:pPr>
              <w:pStyle w:val="15"/>
              <w:spacing w:line="360" w:lineRule="auto"/>
              <w:ind w:left="0" w:leftChars="0" w:firstLine="0" w:firstLineChars="0"/>
              <w:jc w:val="left"/>
              <w:rPr>
                <w:rFonts w:hint="eastAsia" w:hAnsi="宋体"/>
                <w:sz w:val="24"/>
                <w:szCs w:val="24"/>
                <w:highlight w:val="none"/>
              </w:rPr>
            </w:pPr>
            <w:r>
              <w:rPr>
                <w:rFonts w:hint="eastAsia" w:hAnsi="宋体"/>
                <w:sz w:val="24"/>
                <w:szCs w:val="24"/>
                <w:highlight w:val="none"/>
              </w:rPr>
              <w:t>帐号</w:t>
            </w:r>
            <w:r>
              <w:rPr>
                <w:rFonts w:hint="eastAsia" w:hAnsi="宋体"/>
                <w:sz w:val="24"/>
                <w:szCs w:val="24"/>
                <w:highlight w:val="none"/>
                <w:lang w:val="en-US" w:eastAsia="zh-CN"/>
              </w:rPr>
              <w:t>: 3505 0161 7107 0999 8888</w:t>
            </w:r>
          </w:p>
          <w:p>
            <w:pPr>
              <w:pStyle w:val="15"/>
              <w:spacing w:line="360" w:lineRule="auto"/>
              <w:ind w:left="0" w:leftChars="0" w:firstLine="0" w:firstLineChars="0"/>
              <w:jc w:val="left"/>
              <w:rPr>
                <w:rFonts w:hint="eastAsia" w:hAnsi="宋体"/>
                <w:sz w:val="24"/>
                <w:szCs w:val="24"/>
                <w:highlight w:val="none"/>
              </w:rPr>
            </w:pPr>
            <w:r>
              <w:rPr>
                <w:rFonts w:hint="eastAsia" w:hAnsi="宋体"/>
                <w:sz w:val="24"/>
                <w:szCs w:val="24"/>
                <w:highlight w:val="none"/>
              </w:rPr>
              <w:t>税号：</w:t>
            </w:r>
            <w:r>
              <w:rPr>
                <w:rFonts w:hint="eastAsia" w:hAnsi="宋体"/>
                <w:sz w:val="24"/>
                <w:szCs w:val="24"/>
                <w:highlight w:val="none"/>
                <w:lang w:val="en-US" w:eastAsia="zh-CN"/>
              </w:rPr>
              <w:t>91350182MA328GJE71</w:t>
            </w:r>
          </w:p>
        </w:tc>
        <w:tc>
          <w:tcPr>
            <w:tcW w:w="4259" w:type="dxa"/>
            <w:vAlign w:val="top"/>
          </w:tcPr>
          <w:p>
            <w:pPr>
              <w:pStyle w:val="15"/>
              <w:spacing w:line="480" w:lineRule="auto"/>
              <w:ind w:left="720" w:hanging="723" w:hangingChars="300"/>
              <w:rPr>
                <w:rFonts w:hint="eastAsia" w:hAnsi="宋体"/>
                <w:b/>
                <w:bCs/>
                <w:sz w:val="24"/>
                <w:szCs w:val="24"/>
                <w:highlight w:val="none"/>
                <w:lang w:val="en-US" w:eastAsia="zh-CN"/>
              </w:rPr>
            </w:pPr>
            <w:r>
              <w:rPr>
                <w:rFonts w:hint="eastAsia" w:hAnsi="宋体"/>
                <w:b/>
                <w:bCs/>
                <w:sz w:val="24"/>
                <w:szCs w:val="24"/>
                <w:highlight w:val="none"/>
              </w:rPr>
              <w:t>乙方：</w:t>
            </w:r>
            <w:r>
              <w:rPr>
                <w:rFonts w:hint="eastAsia" w:hAnsi="宋体"/>
                <w:b/>
                <w:bCs/>
                <w:sz w:val="24"/>
                <w:szCs w:val="24"/>
                <w:highlight w:val="none"/>
                <w:lang w:val="en-US" w:eastAsia="zh-CN"/>
              </w:rPr>
              <w:t xml:space="preserve"> </w:t>
            </w:r>
            <w:r>
              <w:rPr>
                <w:rFonts w:hint="eastAsia" w:hAnsi="宋体"/>
                <w:b/>
                <w:bCs/>
                <w:sz w:val="24"/>
                <w:szCs w:val="24"/>
                <w:highlight w:val="none"/>
              </w:rPr>
              <w:t>（盖章）</w:t>
            </w:r>
            <w:r>
              <w:rPr>
                <w:rFonts w:hint="eastAsia" w:hAnsi="宋体"/>
                <w:b/>
                <w:bCs/>
                <w:sz w:val="24"/>
                <w:szCs w:val="24"/>
                <w:highlight w:val="none"/>
                <w:lang w:val="en-US" w:eastAsia="zh-CN"/>
              </w:rPr>
              <w:t xml:space="preserve"> </w:t>
            </w:r>
          </w:p>
          <w:p>
            <w:pPr>
              <w:pStyle w:val="15"/>
              <w:spacing w:line="480" w:lineRule="auto"/>
              <w:ind w:left="0" w:leftChars="0" w:firstLine="0" w:firstLineChars="0"/>
              <w:jc w:val="left"/>
              <w:rPr>
                <w:rFonts w:hint="eastAsia" w:hAnsi="宋体"/>
                <w:sz w:val="24"/>
                <w:szCs w:val="24"/>
                <w:highlight w:val="none"/>
                <w:lang w:eastAsia="zh-CN"/>
              </w:rPr>
            </w:pPr>
          </w:p>
          <w:p>
            <w:pPr>
              <w:pStyle w:val="15"/>
              <w:spacing w:line="480" w:lineRule="auto"/>
              <w:ind w:left="0" w:leftChars="0" w:firstLine="0" w:firstLineChars="0"/>
              <w:jc w:val="left"/>
              <w:rPr>
                <w:rFonts w:hint="eastAsia" w:hAnsi="宋体"/>
                <w:sz w:val="24"/>
                <w:szCs w:val="24"/>
                <w:highlight w:val="none"/>
                <w:lang w:eastAsia="zh-CN"/>
              </w:rPr>
            </w:pPr>
            <w:r>
              <w:rPr>
                <w:rFonts w:hint="eastAsia" w:hAnsi="宋体"/>
                <w:sz w:val="24"/>
                <w:szCs w:val="24"/>
                <w:highlight w:val="none"/>
                <w:lang w:eastAsia="zh-CN"/>
              </w:rPr>
              <w:t>负责人</w:t>
            </w:r>
            <w:r>
              <w:rPr>
                <w:rFonts w:hint="eastAsia" w:hAnsi="宋体"/>
                <w:sz w:val="24"/>
                <w:szCs w:val="24"/>
                <w:highlight w:val="none"/>
              </w:rPr>
              <w:t>（签字）</w:t>
            </w:r>
            <w:r>
              <w:rPr>
                <w:rFonts w:hint="eastAsia" w:hAnsi="宋体"/>
                <w:sz w:val="24"/>
                <w:szCs w:val="24"/>
                <w:highlight w:val="none"/>
                <w:lang w:eastAsia="zh-CN"/>
              </w:rPr>
              <w:t>：</w:t>
            </w:r>
          </w:p>
          <w:p>
            <w:pPr>
              <w:pStyle w:val="15"/>
              <w:spacing w:line="480" w:lineRule="auto"/>
              <w:ind w:left="0" w:leftChars="0" w:firstLine="0" w:firstLineChars="0"/>
              <w:jc w:val="left"/>
              <w:rPr>
                <w:rFonts w:hint="eastAsia" w:hAnsi="宋体"/>
                <w:sz w:val="24"/>
                <w:szCs w:val="24"/>
                <w:highlight w:val="none"/>
              </w:rPr>
            </w:pPr>
            <w:r>
              <w:rPr>
                <w:rFonts w:hint="eastAsia" w:hAnsi="宋体"/>
                <w:sz w:val="24"/>
                <w:szCs w:val="24"/>
                <w:highlight w:val="none"/>
                <w:lang w:eastAsia="zh-CN"/>
              </w:rPr>
              <w:t>或委托代理人</w:t>
            </w:r>
            <w:r>
              <w:rPr>
                <w:rFonts w:hint="eastAsia" w:hAnsi="宋体"/>
                <w:sz w:val="24"/>
                <w:szCs w:val="24"/>
                <w:highlight w:val="none"/>
              </w:rPr>
              <w:t>（签字）：</w:t>
            </w:r>
          </w:p>
          <w:p>
            <w:pPr>
              <w:pStyle w:val="15"/>
              <w:spacing w:line="480" w:lineRule="auto"/>
              <w:ind w:left="0" w:leftChars="0" w:firstLine="0" w:firstLineChars="0"/>
              <w:jc w:val="left"/>
              <w:rPr>
                <w:rFonts w:hint="eastAsia" w:hAnsi="宋体"/>
                <w:sz w:val="24"/>
                <w:szCs w:val="24"/>
                <w:highlight w:val="none"/>
              </w:rPr>
            </w:pPr>
            <w:r>
              <w:rPr>
                <w:rFonts w:hint="eastAsia" w:hAnsi="宋体"/>
                <w:sz w:val="24"/>
                <w:szCs w:val="24"/>
                <w:highlight w:val="none"/>
              </w:rPr>
              <w:t>签订时间：</w:t>
            </w:r>
            <w:r>
              <w:rPr>
                <w:rFonts w:hint="eastAsia" w:hAnsi="宋体"/>
                <w:sz w:val="24"/>
                <w:szCs w:val="24"/>
                <w:highlight w:val="none"/>
                <w:lang w:val="en-US" w:eastAsia="zh-CN"/>
              </w:rPr>
              <w:t>202</w:t>
            </w:r>
            <w:r>
              <w:rPr>
                <w:rFonts w:hint="eastAsia" w:hAnsi="宋体"/>
                <w:sz w:val="24"/>
                <w:szCs w:val="24"/>
                <w:highlight w:val="none"/>
              </w:rPr>
              <w:t>5年   月   日</w:t>
            </w:r>
          </w:p>
          <w:p>
            <w:pPr>
              <w:pStyle w:val="15"/>
              <w:spacing w:line="360" w:lineRule="auto"/>
              <w:jc w:val="left"/>
              <w:rPr>
                <w:rFonts w:hint="eastAsia" w:hAnsi="宋体"/>
                <w:color w:val="auto"/>
                <w:sz w:val="24"/>
                <w:szCs w:val="24"/>
                <w:highlight w:val="none"/>
                <w:lang w:val="en-US" w:eastAsia="zh-CN"/>
              </w:rPr>
            </w:pPr>
            <w:r>
              <w:rPr>
                <w:rFonts w:hint="eastAsia" w:hAnsi="宋体"/>
                <w:color w:val="auto"/>
                <w:sz w:val="24"/>
                <w:szCs w:val="24"/>
                <w:highlight w:val="none"/>
              </w:rPr>
              <w:t>地址：</w:t>
            </w:r>
            <w:r>
              <w:rPr>
                <w:rFonts w:hint="eastAsia" w:hAnsi="宋体"/>
                <w:color w:val="auto"/>
                <w:sz w:val="24"/>
                <w:szCs w:val="24"/>
                <w:highlight w:val="none"/>
                <w:lang w:val="en-US" w:eastAsia="zh-CN"/>
              </w:rPr>
              <w:t xml:space="preserve"> </w:t>
            </w:r>
          </w:p>
          <w:p>
            <w:pPr>
              <w:pStyle w:val="15"/>
              <w:spacing w:line="360" w:lineRule="auto"/>
              <w:jc w:val="left"/>
              <w:rPr>
                <w:rFonts w:hint="eastAsia" w:hAnsi="宋体"/>
                <w:color w:val="auto"/>
                <w:sz w:val="24"/>
                <w:szCs w:val="24"/>
                <w:highlight w:val="none"/>
                <w:lang w:val="en-US" w:eastAsia="zh-CN"/>
              </w:rPr>
            </w:pPr>
          </w:p>
          <w:p>
            <w:pPr>
              <w:pStyle w:val="15"/>
              <w:spacing w:line="360" w:lineRule="auto"/>
              <w:ind w:left="0" w:leftChars="0" w:firstLine="0" w:firstLineChars="0"/>
              <w:jc w:val="left"/>
              <w:rPr>
                <w:rFonts w:hint="default" w:hAnsi="宋体" w:eastAsia="宋体" w:cs="Times New Roman"/>
                <w:bCs/>
                <w:color w:val="auto"/>
                <w:sz w:val="24"/>
                <w:szCs w:val="24"/>
                <w:highlight w:val="none"/>
                <w:lang w:val="en-US" w:eastAsia="zh-CN"/>
              </w:rPr>
            </w:pPr>
            <w:r>
              <w:rPr>
                <w:rFonts w:hint="eastAsia" w:hAnsi="宋体"/>
                <w:color w:val="auto"/>
                <w:sz w:val="24"/>
                <w:szCs w:val="24"/>
                <w:highlight w:val="none"/>
              </w:rPr>
              <w:t>邮政编码：</w:t>
            </w:r>
            <w:r>
              <w:rPr>
                <w:rFonts w:hint="eastAsia" w:hAnsi="宋体"/>
                <w:color w:val="auto"/>
                <w:sz w:val="24"/>
                <w:szCs w:val="24"/>
                <w:highlight w:val="none"/>
                <w:lang w:val="en-US" w:eastAsia="zh-CN"/>
              </w:rPr>
              <w:t xml:space="preserve"> </w:t>
            </w:r>
          </w:p>
          <w:p>
            <w:pPr>
              <w:pStyle w:val="15"/>
              <w:spacing w:line="360" w:lineRule="auto"/>
              <w:ind w:left="0" w:leftChars="0" w:firstLine="0" w:firstLineChars="0"/>
              <w:jc w:val="left"/>
              <w:rPr>
                <w:rFonts w:hint="default" w:hAnsi="宋体" w:eastAsia="宋体"/>
                <w:color w:val="auto"/>
                <w:sz w:val="24"/>
                <w:szCs w:val="24"/>
                <w:highlight w:val="none"/>
                <w:lang w:val="en-US" w:eastAsia="zh-CN"/>
              </w:rPr>
            </w:pPr>
            <w:r>
              <w:rPr>
                <w:rFonts w:hint="eastAsia" w:hAnsi="宋体"/>
                <w:color w:val="auto"/>
                <w:sz w:val="24"/>
                <w:szCs w:val="24"/>
                <w:highlight w:val="none"/>
              </w:rPr>
              <w:t>电话：</w:t>
            </w:r>
            <w:r>
              <w:rPr>
                <w:rFonts w:hint="eastAsia" w:hAnsi="宋体"/>
                <w:color w:val="auto"/>
                <w:sz w:val="24"/>
                <w:szCs w:val="24"/>
                <w:highlight w:val="none"/>
                <w:lang w:val="en-US" w:eastAsia="zh-CN"/>
              </w:rPr>
              <w:t xml:space="preserve"> </w:t>
            </w:r>
          </w:p>
          <w:p>
            <w:pPr>
              <w:pStyle w:val="15"/>
              <w:spacing w:line="360" w:lineRule="auto"/>
              <w:ind w:left="0" w:leftChars="0" w:firstLine="0" w:firstLineChars="0"/>
              <w:jc w:val="left"/>
              <w:rPr>
                <w:rFonts w:hint="eastAsia" w:hAnsi="宋体"/>
                <w:color w:val="auto"/>
                <w:sz w:val="24"/>
                <w:szCs w:val="24"/>
                <w:highlight w:val="none"/>
                <w:lang w:val="en-US" w:eastAsia="zh-CN"/>
              </w:rPr>
            </w:pPr>
            <w:r>
              <w:rPr>
                <w:rFonts w:hint="eastAsia" w:hAnsi="宋体"/>
                <w:color w:val="auto"/>
                <w:sz w:val="24"/>
                <w:szCs w:val="24"/>
                <w:highlight w:val="none"/>
              </w:rPr>
              <w:t>开户行：</w:t>
            </w:r>
            <w:r>
              <w:rPr>
                <w:rFonts w:hint="eastAsia" w:hAnsi="宋体"/>
                <w:color w:val="auto"/>
                <w:sz w:val="24"/>
                <w:szCs w:val="24"/>
                <w:highlight w:val="none"/>
                <w:lang w:val="en-US" w:eastAsia="zh-CN"/>
              </w:rPr>
              <w:t xml:space="preserve"> </w:t>
            </w:r>
          </w:p>
          <w:p>
            <w:pPr>
              <w:pStyle w:val="15"/>
              <w:spacing w:line="360" w:lineRule="auto"/>
              <w:ind w:left="0" w:leftChars="0" w:firstLine="0" w:firstLineChars="0"/>
              <w:jc w:val="left"/>
              <w:rPr>
                <w:rFonts w:hint="eastAsia" w:hAnsi="宋体" w:eastAsia="宋体"/>
                <w:color w:val="auto"/>
                <w:sz w:val="24"/>
                <w:szCs w:val="24"/>
                <w:highlight w:val="none"/>
                <w:lang w:eastAsia="zh-CN"/>
              </w:rPr>
            </w:pPr>
            <w:r>
              <w:rPr>
                <w:rFonts w:hint="eastAsia" w:hAnsi="宋体"/>
                <w:color w:val="auto"/>
                <w:sz w:val="24"/>
                <w:szCs w:val="24"/>
                <w:highlight w:val="none"/>
              </w:rPr>
              <w:t>户名：</w:t>
            </w:r>
            <w:r>
              <w:rPr>
                <w:rFonts w:hint="eastAsia" w:hAnsi="宋体"/>
                <w:color w:val="auto"/>
                <w:sz w:val="24"/>
                <w:szCs w:val="24"/>
                <w:highlight w:val="none"/>
                <w:lang w:val="en-US" w:eastAsia="zh-CN"/>
              </w:rPr>
              <w:t xml:space="preserve"> </w:t>
            </w:r>
          </w:p>
          <w:p>
            <w:pPr>
              <w:pStyle w:val="15"/>
              <w:spacing w:line="360" w:lineRule="auto"/>
              <w:ind w:left="0" w:leftChars="0" w:firstLine="0" w:firstLineChars="0"/>
              <w:jc w:val="left"/>
              <w:rPr>
                <w:rFonts w:hint="eastAsia" w:hAnsi="宋体" w:eastAsia="宋体"/>
                <w:color w:val="auto"/>
                <w:sz w:val="24"/>
                <w:szCs w:val="24"/>
                <w:highlight w:val="none"/>
                <w:lang w:val="en-US" w:eastAsia="zh-CN"/>
              </w:rPr>
            </w:pPr>
            <w:r>
              <w:rPr>
                <w:rFonts w:hint="eastAsia" w:hAnsi="宋体"/>
                <w:color w:val="auto"/>
                <w:sz w:val="24"/>
                <w:szCs w:val="24"/>
                <w:highlight w:val="none"/>
              </w:rPr>
              <w:t>帐号：</w:t>
            </w:r>
            <w:r>
              <w:rPr>
                <w:rFonts w:hint="eastAsia" w:hAnsi="宋体"/>
                <w:color w:val="auto"/>
                <w:sz w:val="24"/>
                <w:szCs w:val="24"/>
                <w:highlight w:val="none"/>
                <w:lang w:val="en-US" w:eastAsia="zh-CN"/>
              </w:rPr>
              <w:t xml:space="preserve"> </w:t>
            </w:r>
          </w:p>
          <w:p>
            <w:pPr>
              <w:pStyle w:val="15"/>
              <w:spacing w:line="360" w:lineRule="auto"/>
              <w:ind w:left="0" w:leftChars="0" w:firstLine="0" w:firstLineChars="0"/>
              <w:jc w:val="left"/>
              <w:rPr>
                <w:rFonts w:hint="default" w:hAnsi="宋体" w:eastAsia="宋体"/>
                <w:sz w:val="24"/>
                <w:szCs w:val="24"/>
                <w:highlight w:val="none"/>
                <w:lang w:val="en-US" w:eastAsia="zh-CN"/>
              </w:rPr>
            </w:pPr>
            <w:r>
              <w:rPr>
                <w:rFonts w:hint="eastAsia" w:hAnsi="宋体"/>
                <w:color w:val="auto"/>
                <w:sz w:val="24"/>
                <w:szCs w:val="24"/>
                <w:highlight w:val="none"/>
              </w:rPr>
              <w:t>税号：</w:t>
            </w:r>
            <w:r>
              <w:rPr>
                <w:rFonts w:hint="eastAsia" w:hAnsi="宋体"/>
                <w:color w:val="auto"/>
                <w:sz w:val="24"/>
                <w:szCs w:val="24"/>
                <w:highlight w:val="none"/>
                <w:lang w:val="en-US" w:eastAsia="zh-CN"/>
              </w:rPr>
              <w:t xml:space="preserve"> </w:t>
            </w:r>
          </w:p>
        </w:tc>
      </w:tr>
    </w:tbl>
    <w:p>
      <w:pPr>
        <w:spacing w:line="400" w:lineRule="exact"/>
        <w:ind w:firstLine="560"/>
        <w:rPr>
          <w:rFonts w:hint="eastAsia" w:ascii="仿宋" w:hAnsi="仿宋" w:eastAsia="仿宋"/>
          <w:sz w:val="28"/>
          <w:szCs w:val="28"/>
          <w:lang w:eastAsia="zh-CN"/>
        </w:rPr>
      </w:pPr>
    </w:p>
    <w:p>
      <w:pPr>
        <w:spacing w:line="360" w:lineRule="auto"/>
        <w:ind w:firstLine="0" w:firstLineChars="0"/>
        <w:jc w:val="both"/>
        <w:rPr>
          <w:rFonts w:hint="eastAsia" w:ascii="宋体" w:hAnsi="宋体" w:eastAsia="宋体" w:cs="宋体"/>
          <w:b/>
          <w:bCs/>
          <w:spacing w:val="0"/>
          <w:sz w:val="28"/>
          <w:szCs w:val="28"/>
          <w:lang w:eastAsia="zh-CN"/>
        </w:rPr>
      </w:pPr>
    </w:p>
    <w:p>
      <w:pPr>
        <w:spacing w:line="360" w:lineRule="auto"/>
        <w:ind w:firstLine="0" w:firstLineChars="0"/>
        <w:jc w:val="both"/>
        <w:rPr>
          <w:rFonts w:hint="eastAsia" w:ascii="宋体" w:hAnsi="宋体" w:eastAsia="宋体" w:cs="宋体"/>
          <w:b/>
          <w:bCs/>
          <w:spacing w:val="0"/>
          <w:sz w:val="28"/>
          <w:szCs w:val="28"/>
          <w:lang w:eastAsia="zh-CN"/>
        </w:rPr>
      </w:pPr>
    </w:p>
    <w:p>
      <w:pPr>
        <w:spacing w:line="360" w:lineRule="auto"/>
        <w:ind w:firstLine="0" w:firstLineChars="0"/>
        <w:jc w:val="both"/>
        <w:rPr>
          <w:rFonts w:hint="eastAsia" w:ascii="宋体" w:hAnsi="宋体" w:cs="宋体"/>
          <w:b/>
          <w:bCs/>
          <w:spacing w:val="0"/>
          <w:sz w:val="28"/>
          <w:szCs w:val="28"/>
          <w:lang w:eastAsia="zh-CN"/>
        </w:rPr>
      </w:pPr>
    </w:p>
    <w:p>
      <w:pPr>
        <w:spacing w:line="360" w:lineRule="auto"/>
        <w:ind w:firstLine="0" w:firstLineChars="0"/>
        <w:jc w:val="both"/>
        <w:rPr>
          <w:rFonts w:hint="eastAsia" w:ascii="宋体" w:hAnsi="宋体" w:cs="宋体"/>
          <w:b/>
          <w:bCs/>
          <w:spacing w:val="0"/>
          <w:sz w:val="28"/>
          <w:szCs w:val="28"/>
          <w:lang w:eastAsia="zh-CN"/>
        </w:rPr>
      </w:pPr>
    </w:p>
    <w:p>
      <w:pPr>
        <w:spacing w:line="360" w:lineRule="auto"/>
        <w:ind w:firstLine="0" w:firstLineChars="0"/>
        <w:jc w:val="both"/>
        <w:rPr>
          <w:rFonts w:hint="eastAsia" w:ascii="宋体" w:hAnsi="宋体" w:cs="宋体"/>
          <w:b/>
          <w:bCs/>
          <w:spacing w:val="0"/>
          <w:sz w:val="28"/>
          <w:szCs w:val="28"/>
          <w:lang w:eastAsia="zh-CN"/>
        </w:rPr>
      </w:pPr>
    </w:p>
    <w:p>
      <w:pPr>
        <w:spacing w:line="360" w:lineRule="auto"/>
        <w:ind w:firstLine="0" w:firstLineChars="0"/>
        <w:jc w:val="both"/>
        <w:rPr>
          <w:rFonts w:hint="eastAsia" w:ascii="宋体" w:hAnsi="宋体" w:cs="宋体"/>
          <w:b/>
          <w:bCs/>
          <w:spacing w:val="0"/>
          <w:sz w:val="28"/>
          <w:szCs w:val="28"/>
          <w:lang w:eastAsia="zh-CN"/>
        </w:rPr>
      </w:pPr>
    </w:p>
    <w:p>
      <w:pPr>
        <w:spacing w:line="360" w:lineRule="auto"/>
        <w:ind w:firstLine="0" w:firstLineChars="0"/>
        <w:jc w:val="both"/>
        <w:rPr>
          <w:rFonts w:hint="eastAsia" w:ascii="宋体" w:hAnsi="宋体" w:cs="宋体"/>
          <w:b/>
          <w:bCs/>
          <w:spacing w:val="0"/>
          <w:sz w:val="28"/>
          <w:szCs w:val="28"/>
          <w:lang w:eastAsia="zh-CN"/>
        </w:rPr>
      </w:pPr>
    </w:p>
    <w:p>
      <w:pPr>
        <w:spacing w:line="360" w:lineRule="auto"/>
        <w:ind w:firstLine="0" w:firstLineChars="0"/>
        <w:jc w:val="both"/>
        <w:rPr>
          <w:rFonts w:hint="eastAsia" w:ascii="宋体" w:hAnsi="宋体" w:cs="宋体"/>
          <w:b/>
          <w:bCs/>
          <w:spacing w:val="0"/>
          <w:sz w:val="28"/>
          <w:szCs w:val="28"/>
          <w:lang w:eastAsia="zh-CN"/>
        </w:rPr>
      </w:pPr>
    </w:p>
    <w:p>
      <w:pPr>
        <w:spacing w:line="360" w:lineRule="auto"/>
        <w:ind w:firstLine="0" w:firstLineChars="0"/>
        <w:jc w:val="both"/>
        <w:rPr>
          <w:rFonts w:hint="eastAsia" w:ascii="宋体" w:hAnsi="宋体" w:cs="宋体"/>
          <w:b/>
          <w:bCs/>
          <w:spacing w:val="0"/>
          <w:sz w:val="28"/>
          <w:szCs w:val="28"/>
          <w:lang w:eastAsia="zh-CN"/>
        </w:rPr>
      </w:pPr>
      <w:r>
        <w:rPr>
          <w:rFonts w:hint="eastAsia" w:ascii="宋体" w:hAnsi="宋体" w:cs="宋体"/>
          <w:b/>
          <w:bCs/>
          <w:spacing w:val="0"/>
          <w:sz w:val="28"/>
          <w:szCs w:val="28"/>
          <w:lang w:eastAsia="zh-CN"/>
        </w:rPr>
        <w:t>附件一：</w:t>
      </w:r>
    </w:p>
    <w:p>
      <w:pPr>
        <w:pStyle w:val="11"/>
        <w:jc w:val="center"/>
        <w:rPr>
          <w:rFonts w:hint="eastAsia" w:ascii="宋体" w:hAnsi="宋体"/>
          <w:b/>
          <w:bCs/>
          <w:sz w:val="28"/>
          <w:szCs w:val="28"/>
          <w:highlight w:val="none"/>
        </w:rPr>
      </w:pPr>
      <w:r>
        <w:rPr>
          <w:rFonts w:hint="eastAsia" w:ascii="宋体" w:hAnsi="宋体" w:cs="宋体"/>
          <w:b/>
          <w:bCs/>
          <w:spacing w:val="0"/>
          <w:sz w:val="28"/>
          <w:szCs w:val="28"/>
          <w:lang w:eastAsia="zh-CN"/>
        </w:rPr>
        <w:t>技术规范书</w:t>
      </w:r>
    </w:p>
    <w:p>
      <w:pPr>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60" w:name="_Toc32272"/>
      <w:bookmarkStart w:id="61" w:name="_Toc21676"/>
      <w:bookmarkStart w:id="62" w:name="_Toc14200"/>
      <w:r>
        <w:rPr>
          <w:rFonts w:hint="eastAsia" w:ascii="宋体" w:hAnsi="宋体" w:eastAsia="宋体" w:cs="宋体"/>
          <w:b/>
          <w:color w:val="auto"/>
          <w:sz w:val="24"/>
          <w:szCs w:val="24"/>
          <w:highlight w:val="none"/>
        </w:rPr>
        <w:t>一、工程概况</w:t>
      </w:r>
      <w:bookmarkEnd w:id="60"/>
      <w:bookmarkEnd w:id="61"/>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福建省福能海峡发电有限公司生产指挥大楼位于福建省福州市长乐区文武砂镇东南大数据产业园三期8号楼，共12层。龙下</w:t>
      </w:r>
      <w:r>
        <w:rPr>
          <w:rFonts w:hint="eastAsia" w:ascii="宋体" w:hAnsi="宋体" w:eastAsia="宋体" w:cs="宋体"/>
          <w:sz w:val="24"/>
          <w:szCs w:val="24"/>
        </w:rPr>
        <w:t>风电场</w:t>
      </w:r>
      <w:r>
        <w:rPr>
          <w:rFonts w:hint="eastAsia" w:ascii="宋体" w:hAnsi="宋体" w:eastAsia="宋体" w:cs="宋体"/>
          <w:sz w:val="24"/>
          <w:szCs w:val="24"/>
          <w:lang w:val="en-US" w:eastAsia="zh-CN"/>
        </w:rPr>
        <w:t>陆上集控站</w:t>
      </w:r>
      <w:r>
        <w:rPr>
          <w:rFonts w:hint="eastAsia" w:ascii="宋体" w:hAnsi="宋体" w:eastAsia="宋体" w:cs="宋体"/>
          <w:sz w:val="24"/>
          <w:szCs w:val="24"/>
        </w:rPr>
        <w:t>位于福建省</w:t>
      </w:r>
      <w:r>
        <w:rPr>
          <w:rFonts w:hint="eastAsia" w:ascii="宋体" w:hAnsi="宋体" w:eastAsia="宋体" w:cs="宋体"/>
          <w:sz w:val="24"/>
          <w:szCs w:val="24"/>
          <w:lang w:val="en-US" w:eastAsia="zh-CN"/>
        </w:rPr>
        <w:t>福州市长乐区松下镇首祉村附近</w:t>
      </w:r>
      <w:r>
        <w:rPr>
          <w:rFonts w:hint="eastAsia" w:ascii="宋体" w:hAnsi="宋体" w:eastAsia="宋体" w:cs="宋体"/>
          <w:sz w:val="24"/>
          <w:szCs w:val="24"/>
        </w:rPr>
        <w:t>，</w:t>
      </w:r>
      <w:r>
        <w:rPr>
          <w:rFonts w:hint="eastAsia" w:ascii="宋体" w:hAnsi="宋体" w:eastAsia="宋体" w:cs="宋体"/>
          <w:sz w:val="24"/>
          <w:szCs w:val="24"/>
          <w:lang w:val="en-US" w:eastAsia="zh-CN"/>
        </w:rPr>
        <w:t>坐标为119°62'75.67"E,25°76'36.3"N</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海拔高度</w:t>
      </w:r>
      <w:r>
        <w:rPr>
          <w:rFonts w:hint="eastAsia" w:ascii="宋体" w:hAnsi="宋体" w:eastAsia="宋体" w:cs="宋体"/>
          <w:sz w:val="24"/>
          <w:szCs w:val="24"/>
        </w:rPr>
        <w:t>17~40m</w:t>
      </w:r>
      <w:r>
        <w:rPr>
          <w:rFonts w:hint="eastAsia" w:ascii="宋体" w:hAnsi="宋体" w:eastAsia="宋体" w:cs="宋体"/>
          <w:sz w:val="24"/>
          <w:szCs w:val="24"/>
          <w:lang w:val="en-US" w:eastAsia="zh-CN"/>
        </w:rPr>
        <w:t>之间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陆上集控站</w:t>
      </w:r>
      <w:r>
        <w:rPr>
          <w:rFonts w:hint="eastAsia" w:ascii="宋体" w:hAnsi="宋体" w:eastAsia="宋体" w:cs="宋体"/>
          <w:sz w:val="24"/>
          <w:szCs w:val="24"/>
        </w:rPr>
        <w:t>围墙内总占地面积</w:t>
      </w:r>
      <w:r>
        <w:rPr>
          <w:rFonts w:hint="eastAsia" w:ascii="宋体" w:hAnsi="宋体" w:eastAsia="宋体" w:cs="宋体"/>
          <w:sz w:val="24"/>
          <w:szCs w:val="24"/>
          <w:lang w:val="en-US" w:eastAsia="zh-CN"/>
        </w:rPr>
        <w:t>7953</w:t>
      </w:r>
      <w:r>
        <w:rPr>
          <w:rFonts w:hint="eastAsia" w:ascii="宋体" w:hAnsi="宋体" w:eastAsia="宋体" w:cs="宋体"/>
          <w:sz w:val="24"/>
          <w:szCs w:val="24"/>
        </w:rPr>
        <w:t>㎡，站内设有主控楼、</w:t>
      </w:r>
      <w:r>
        <w:rPr>
          <w:rFonts w:hint="eastAsia" w:ascii="宋体" w:hAnsi="宋体" w:eastAsia="宋体" w:cs="宋体"/>
          <w:sz w:val="24"/>
          <w:szCs w:val="24"/>
          <w:lang w:val="en-US" w:eastAsia="zh-CN"/>
        </w:rPr>
        <w:t>侯班楼、GIS楼、</w:t>
      </w:r>
      <w:r>
        <w:rPr>
          <w:rFonts w:hint="eastAsia" w:ascii="宋体" w:hAnsi="宋体" w:eastAsia="宋体" w:cs="宋体"/>
          <w:sz w:val="24"/>
          <w:szCs w:val="24"/>
        </w:rPr>
        <w:t>配电装置</w:t>
      </w:r>
      <w:r>
        <w:rPr>
          <w:rFonts w:hint="eastAsia" w:ascii="宋体" w:hAnsi="宋体" w:eastAsia="宋体" w:cs="宋体"/>
          <w:sz w:val="24"/>
          <w:szCs w:val="24"/>
          <w:lang w:val="en-US" w:eastAsia="zh-CN"/>
        </w:rPr>
        <w:t>楼、消防泵房</w:t>
      </w:r>
      <w:r>
        <w:rPr>
          <w:rFonts w:hint="eastAsia" w:ascii="宋体" w:hAnsi="宋体" w:eastAsia="宋体" w:cs="宋体"/>
          <w:sz w:val="24"/>
          <w:szCs w:val="24"/>
        </w:rPr>
        <w:t>、</w:t>
      </w:r>
      <w:r>
        <w:rPr>
          <w:rFonts w:hint="eastAsia" w:ascii="宋体" w:hAnsi="宋体" w:eastAsia="宋体" w:cs="宋体"/>
          <w:sz w:val="24"/>
          <w:szCs w:val="24"/>
          <w:lang w:val="en-US" w:eastAsia="zh-CN"/>
        </w:rPr>
        <w:t>门卫室、光伏棚及主变高抗区域</w:t>
      </w:r>
      <w:r>
        <w:rPr>
          <w:rFonts w:hint="eastAsia" w:ascii="宋体" w:hAnsi="宋体" w:eastAsia="宋体" w:cs="宋体"/>
          <w:sz w:val="24"/>
          <w:szCs w:val="24"/>
        </w:rPr>
        <w:t>，总建筑面积</w:t>
      </w:r>
      <w:r>
        <w:rPr>
          <w:rFonts w:hint="eastAsia" w:ascii="宋体" w:hAnsi="宋体" w:eastAsia="宋体" w:cs="宋体"/>
          <w:sz w:val="24"/>
          <w:szCs w:val="24"/>
          <w:lang w:val="en-US" w:eastAsia="zh-CN"/>
        </w:rPr>
        <w:t>2744</w:t>
      </w:r>
      <w:r>
        <w:rPr>
          <w:rFonts w:hint="eastAsia" w:ascii="宋体" w:hAnsi="宋体" w:eastAsia="宋体" w:cs="宋体"/>
          <w:sz w:val="24"/>
          <w:szCs w:val="24"/>
        </w:rPr>
        <w:t>㎡。</w:t>
      </w:r>
      <w:r>
        <w:rPr>
          <w:rFonts w:hint="eastAsia" w:ascii="宋体" w:hAnsi="宋体" w:eastAsia="宋体" w:cs="宋体"/>
          <w:sz w:val="24"/>
          <w:szCs w:val="24"/>
          <w:lang w:val="en-US" w:eastAsia="zh-CN"/>
        </w:rPr>
        <w:t>龙下风电场海上升压站位于长乐区外海C区，坐标119°57'37.38"E，25°49'44.7"N，为三层构筑物，单层面积1224㎡，升压站设有GIS室，35kV开关室，继保室，主变室，消防设备间，蓄电池室，顶层平台等。</w:t>
      </w:r>
    </w:p>
    <w:p>
      <w:pPr>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lang w:val="en-US" w:eastAsia="zh-CN"/>
        </w:rPr>
      </w:pPr>
      <w:bookmarkStart w:id="63" w:name="_Toc3030"/>
      <w:bookmarkStart w:id="64" w:name="_Toc27555"/>
      <w:r>
        <w:rPr>
          <w:rFonts w:hint="eastAsia" w:ascii="宋体" w:hAnsi="宋体" w:eastAsia="宋体" w:cs="宋体"/>
          <w:b/>
          <w:color w:val="auto"/>
          <w:sz w:val="24"/>
          <w:szCs w:val="24"/>
          <w:highlight w:val="none"/>
        </w:rPr>
        <w:t>二、</w:t>
      </w:r>
      <w:r>
        <w:rPr>
          <w:rFonts w:hint="eastAsia" w:ascii="宋体" w:hAnsi="宋体" w:eastAsia="宋体" w:cs="宋体"/>
          <w:b/>
          <w:color w:val="auto"/>
          <w:sz w:val="24"/>
          <w:szCs w:val="24"/>
          <w:highlight w:val="none"/>
          <w:lang w:val="en-US" w:eastAsia="zh-CN"/>
        </w:rPr>
        <w:t>服务范围</w:t>
      </w:r>
      <w:bookmarkEnd w:id="63"/>
      <w:bookmarkEnd w:id="64"/>
    </w:p>
    <w:p>
      <w:pPr>
        <w:bidi w:val="0"/>
        <w:spacing w:line="360" w:lineRule="auto"/>
        <w:rPr>
          <w:rFonts w:hint="eastAsia" w:ascii="宋体" w:hAnsi="宋体" w:eastAsia="宋体" w:cs="宋体"/>
          <w:sz w:val="24"/>
          <w:szCs w:val="24"/>
        </w:rPr>
      </w:pPr>
      <w:bookmarkStart w:id="65" w:name="OLE_LINK17"/>
      <w:r>
        <w:rPr>
          <w:rFonts w:hint="eastAsia" w:ascii="宋体" w:hAnsi="宋体" w:eastAsia="宋体" w:cs="宋体"/>
          <w:sz w:val="24"/>
          <w:szCs w:val="24"/>
        </w:rPr>
        <w:t>根据福建省福能海峡发电有限公司生产指挥大楼、龙下风电场陆上集控站、海上升压站构筑物及设备的重要性、使用性质、发生雷电事故的可能性和后果分析判断场区的防雷类别，按照防雷类别所对应的防雷规范要求，</w:t>
      </w:r>
      <w:r>
        <w:rPr>
          <w:rFonts w:hint="eastAsia" w:ascii="宋体" w:hAnsi="宋体" w:eastAsia="宋体" w:cs="宋体"/>
          <w:sz w:val="24"/>
          <w:szCs w:val="24"/>
          <w:lang w:val="en-US" w:eastAsia="zh-CN"/>
        </w:rPr>
        <w:t>开展</w:t>
      </w:r>
      <w:r>
        <w:rPr>
          <w:rFonts w:hint="eastAsia" w:ascii="宋体" w:hAnsi="宋体" w:eastAsia="宋体" w:cs="宋体"/>
          <w:sz w:val="24"/>
          <w:szCs w:val="24"/>
        </w:rPr>
        <w:t>建构筑物防雷装置安全性能检测和设备专项防雷工程安全性能检测。</w:t>
      </w:r>
      <w:bookmarkEnd w:id="65"/>
    </w:p>
    <w:p>
      <w:pPr>
        <w:pStyle w:val="2"/>
        <w:numPr>
          <w:ilvl w:val="1"/>
          <w:numId w:val="0"/>
        </w:numPr>
        <w:tabs>
          <w:tab w:val="left" w:pos="720"/>
          <w:tab w:val="left" w:pos="2432"/>
        </w:tabs>
        <w:bidi w:val="0"/>
        <w:spacing w:line="360" w:lineRule="auto"/>
        <w:rPr>
          <w:rFonts w:hint="eastAsia" w:ascii="宋体" w:hAnsi="宋体" w:eastAsia="宋体" w:cs="宋体"/>
          <w:sz w:val="24"/>
          <w:szCs w:val="24"/>
        </w:rPr>
      </w:pPr>
      <w:bookmarkStart w:id="66" w:name="_Toc11877"/>
      <w:bookmarkStart w:id="67" w:name="_Toc17789"/>
      <w:r>
        <w:rPr>
          <w:rFonts w:hint="eastAsia" w:ascii="宋体" w:hAnsi="宋体" w:eastAsia="宋体" w:cs="宋体"/>
          <w:sz w:val="24"/>
          <w:szCs w:val="24"/>
        </w:rPr>
        <w:t>1.检测项目</w:t>
      </w:r>
      <w:bookmarkEnd w:id="66"/>
      <w:bookmarkEnd w:id="67"/>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检测项目：包括但不限于接闪器、引下线、接地装置、</w:t>
      </w:r>
      <w:r>
        <w:rPr>
          <w:rFonts w:hint="eastAsia" w:ascii="宋体" w:hAnsi="宋体" w:eastAsia="宋体" w:cs="宋体"/>
          <w:sz w:val="24"/>
          <w:szCs w:val="24"/>
          <w:lang w:val="en-US" w:eastAsia="zh-CN"/>
        </w:rPr>
        <w:t>设备</w:t>
      </w:r>
      <w:r>
        <w:rPr>
          <w:rFonts w:hint="eastAsia" w:ascii="宋体" w:hAnsi="宋体" w:eastAsia="宋体" w:cs="宋体"/>
          <w:sz w:val="24"/>
          <w:szCs w:val="24"/>
        </w:rPr>
        <w:t>预留电气接地</w:t>
      </w:r>
      <w:r>
        <w:rPr>
          <w:rFonts w:hint="eastAsia" w:ascii="宋体" w:hAnsi="宋体" w:eastAsia="宋体" w:cs="宋体"/>
          <w:sz w:val="24"/>
          <w:szCs w:val="24"/>
          <w:lang w:eastAsia="zh-CN"/>
        </w:rPr>
        <w:t>、</w:t>
      </w:r>
      <w:r>
        <w:rPr>
          <w:rFonts w:hint="eastAsia" w:ascii="宋体" w:hAnsi="宋体" w:eastAsia="宋体" w:cs="宋体"/>
          <w:sz w:val="24"/>
          <w:szCs w:val="24"/>
        </w:rPr>
        <w:t>接地阻抗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场区电位梯度、</w:t>
      </w:r>
      <w:r>
        <w:rPr>
          <w:rFonts w:hint="eastAsia" w:ascii="宋体" w:hAnsi="宋体" w:eastAsia="宋体" w:cs="宋体"/>
          <w:sz w:val="24"/>
          <w:szCs w:val="24"/>
        </w:rPr>
        <w:t>跨步电位差</w:t>
      </w:r>
      <w:r>
        <w:rPr>
          <w:rFonts w:hint="eastAsia" w:ascii="宋体" w:hAnsi="宋体" w:eastAsia="宋体" w:cs="宋体"/>
          <w:sz w:val="24"/>
          <w:szCs w:val="24"/>
          <w:lang w:eastAsia="zh-CN"/>
        </w:rPr>
        <w:t>、</w:t>
      </w:r>
      <w:r>
        <w:rPr>
          <w:rFonts w:hint="eastAsia" w:ascii="宋体" w:hAnsi="宋体" w:eastAsia="宋体" w:cs="宋体"/>
          <w:sz w:val="24"/>
          <w:szCs w:val="24"/>
        </w:rPr>
        <w:t>接触电位差等。</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主要检测内容详见附件一。</w:t>
      </w:r>
    </w:p>
    <w:p>
      <w:pPr>
        <w:pStyle w:val="2"/>
        <w:numPr>
          <w:ilvl w:val="1"/>
          <w:numId w:val="0"/>
        </w:numPr>
        <w:tabs>
          <w:tab w:val="left" w:pos="720"/>
          <w:tab w:val="left" w:pos="2432"/>
        </w:tabs>
        <w:bidi w:val="0"/>
        <w:spacing w:line="360" w:lineRule="auto"/>
        <w:rPr>
          <w:rFonts w:hint="eastAsia" w:ascii="宋体" w:hAnsi="宋体" w:eastAsia="宋体" w:cs="宋体"/>
          <w:sz w:val="24"/>
          <w:szCs w:val="24"/>
          <w:lang w:val="en-US" w:eastAsia="zh-CN"/>
        </w:rPr>
      </w:pPr>
      <w:bookmarkStart w:id="68" w:name="_Toc18248"/>
      <w:bookmarkStart w:id="69" w:name="_Toc7897"/>
      <w:r>
        <w:rPr>
          <w:rFonts w:hint="eastAsia" w:ascii="宋体" w:hAnsi="宋体" w:eastAsia="宋体" w:cs="宋体"/>
          <w:sz w:val="24"/>
          <w:szCs w:val="24"/>
        </w:rPr>
        <w:t>2.</w:t>
      </w:r>
      <w:r>
        <w:rPr>
          <w:rFonts w:hint="eastAsia" w:ascii="宋体" w:hAnsi="宋体" w:eastAsia="宋体" w:cs="宋体"/>
          <w:sz w:val="24"/>
          <w:szCs w:val="24"/>
          <w:lang w:val="en-US" w:eastAsia="zh-CN"/>
        </w:rPr>
        <w:t>检测</w:t>
      </w:r>
      <w:r>
        <w:rPr>
          <w:rFonts w:hint="eastAsia" w:ascii="宋体" w:hAnsi="宋体" w:eastAsia="宋体" w:cs="宋体"/>
          <w:sz w:val="24"/>
          <w:szCs w:val="24"/>
        </w:rPr>
        <w:t>范围</w:t>
      </w:r>
      <w:r>
        <w:rPr>
          <w:rFonts w:hint="eastAsia" w:ascii="宋体" w:hAnsi="宋体" w:eastAsia="宋体" w:cs="宋体"/>
          <w:sz w:val="24"/>
          <w:szCs w:val="24"/>
          <w:lang w:val="en-US" w:eastAsia="zh-CN"/>
        </w:rPr>
        <w:t>及内容</w:t>
      </w:r>
      <w:bookmarkEnd w:id="68"/>
      <w:bookmarkEnd w:id="69"/>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2.1</w:t>
      </w:r>
      <w:r>
        <w:rPr>
          <w:rFonts w:hint="eastAsia" w:ascii="宋体" w:hAnsi="宋体" w:eastAsia="宋体" w:cs="宋体"/>
          <w:sz w:val="24"/>
          <w:szCs w:val="24"/>
        </w:rPr>
        <w:t>根据相关规范对福建省福能海峡发电有限公司生产指挥大楼、龙下风电场陆上集控站、海上升压站等构筑物</w:t>
      </w:r>
      <w:r>
        <w:rPr>
          <w:rFonts w:hint="eastAsia" w:ascii="宋体" w:hAnsi="宋体" w:eastAsia="宋体" w:cs="宋体"/>
          <w:sz w:val="24"/>
          <w:szCs w:val="24"/>
          <w:lang w:val="en-US" w:eastAsia="zh-CN"/>
        </w:rPr>
        <w:t>的</w:t>
      </w:r>
      <w:r>
        <w:rPr>
          <w:rFonts w:hint="eastAsia" w:ascii="宋体" w:hAnsi="宋体" w:eastAsia="宋体" w:cs="宋体"/>
          <w:sz w:val="24"/>
          <w:szCs w:val="24"/>
        </w:rPr>
        <w:t>设备及建筑进行防雷检测等工作，并出具符合行业要求的相关报告。须完成本次检测服务主要包含（但不限于）以下内容：</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生产指挥大楼建筑物</w:t>
      </w:r>
      <w:r>
        <w:rPr>
          <w:rFonts w:hint="eastAsia" w:ascii="宋体" w:hAnsi="宋体" w:eastAsia="宋体" w:cs="宋体"/>
          <w:sz w:val="24"/>
          <w:szCs w:val="24"/>
          <w:highlight w:val="none"/>
          <w:lang w:val="en-US" w:eastAsia="zh-CN"/>
        </w:rPr>
        <w:t>及信息机房</w:t>
      </w:r>
      <w:r>
        <w:rPr>
          <w:rFonts w:hint="eastAsia" w:ascii="宋体" w:hAnsi="宋体" w:eastAsia="宋体" w:cs="宋体"/>
          <w:sz w:val="24"/>
          <w:szCs w:val="24"/>
          <w:lang w:val="en-US" w:eastAsia="zh-CN"/>
        </w:rPr>
        <w:t>检测；</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22</w:t>
      </w:r>
      <w:r>
        <w:rPr>
          <w:rFonts w:hint="eastAsia" w:ascii="宋体" w:hAnsi="宋体" w:eastAsia="宋体" w:cs="宋体"/>
          <w:sz w:val="24"/>
          <w:szCs w:val="24"/>
        </w:rPr>
        <w:t>0kV</w:t>
      </w:r>
      <w:r>
        <w:rPr>
          <w:rFonts w:hint="eastAsia" w:ascii="宋体" w:hAnsi="宋体" w:eastAsia="宋体" w:cs="宋体"/>
          <w:sz w:val="24"/>
          <w:szCs w:val="24"/>
          <w:lang w:val="en-US" w:eastAsia="zh-CN"/>
        </w:rPr>
        <w:t>陆上集控站</w:t>
      </w:r>
      <w:r>
        <w:rPr>
          <w:rFonts w:hint="eastAsia" w:ascii="宋体" w:hAnsi="宋体" w:eastAsia="宋体" w:cs="宋体"/>
          <w:sz w:val="24"/>
          <w:szCs w:val="24"/>
        </w:rPr>
        <w:t>建筑物检测，包含主控楼、</w:t>
      </w:r>
      <w:r>
        <w:rPr>
          <w:rFonts w:hint="eastAsia" w:ascii="宋体" w:hAnsi="宋体" w:eastAsia="宋体" w:cs="宋体"/>
          <w:sz w:val="24"/>
          <w:szCs w:val="24"/>
          <w:lang w:val="en-US" w:eastAsia="zh-CN"/>
        </w:rPr>
        <w:t>侯班楼、GIS楼、</w:t>
      </w:r>
      <w:r>
        <w:rPr>
          <w:rFonts w:hint="eastAsia" w:ascii="宋体" w:hAnsi="宋体" w:eastAsia="宋体" w:cs="宋体"/>
          <w:sz w:val="24"/>
          <w:szCs w:val="24"/>
        </w:rPr>
        <w:t>配电装置</w:t>
      </w:r>
      <w:r>
        <w:rPr>
          <w:rFonts w:hint="eastAsia" w:ascii="宋体" w:hAnsi="宋体" w:eastAsia="宋体" w:cs="宋体"/>
          <w:sz w:val="24"/>
          <w:szCs w:val="24"/>
          <w:lang w:val="en-US" w:eastAsia="zh-CN"/>
        </w:rPr>
        <w:t>楼、消防泵房</w:t>
      </w:r>
      <w:r>
        <w:rPr>
          <w:rFonts w:hint="eastAsia" w:ascii="宋体" w:hAnsi="宋体" w:eastAsia="宋体" w:cs="宋体"/>
          <w:sz w:val="24"/>
          <w:szCs w:val="24"/>
        </w:rPr>
        <w:t>、</w:t>
      </w:r>
      <w:r>
        <w:rPr>
          <w:rFonts w:hint="eastAsia" w:ascii="宋体" w:hAnsi="宋体" w:eastAsia="宋体" w:cs="宋体"/>
          <w:sz w:val="24"/>
          <w:szCs w:val="24"/>
          <w:lang w:val="en-US" w:eastAsia="zh-CN"/>
        </w:rPr>
        <w:t>门卫室、光伏棚、主控楼及候班楼楼顶光伏建筑</w:t>
      </w:r>
      <w:r>
        <w:rPr>
          <w:rFonts w:hint="eastAsia" w:ascii="宋体" w:hAnsi="宋体" w:eastAsia="宋体" w:cs="宋体"/>
          <w:sz w:val="24"/>
          <w:szCs w:val="24"/>
        </w:rPr>
        <w:t>；</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22</w:t>
      </w:r>
      <w:r>
        <w:rPr>
          <w:rFonts w:hint="eastAsia" w:ascii="宋体" w:hAnsi="宋体" w:eastAsia="宋体" w:cs="宋体"/>
          <w:sz w:val="24"/>
          <w:szCs w:val="24"/>
        </w:rPr>
        <w:t>0kV</w:t>
      </w:r>
      <w:r>
        <w:rPr>
          <w:rFonts w:hint="eastAsia" w:ascii="宋体" w:hAnsi="宋体" w:eastAsia="宋体" w:cs="宋体"/>
          <w:sz w:val="24"/>
          <w:szCs w:val="24"/>
          <w:lang w:val="en-US" w:eastAsia="zh-CN"/>
        </w:rPr>
        <w:t>陆上集控站建筑物及设备的</w:t>
      </w:r>
      <w:r>
        <w:rPr>
          <w:rFonts w:hint="eastAsia" w:ascii="宋体" w:hAnsi="宋体" w:eastAsia="宋体" w:cs="宋体"/>
          <w:sz w:val="24"/>
          <w:szCs w:val="24"/>
        </w:rPr>
        <w:t>设备接地网、避雷针、设备防护装置等；</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22</w:t>
      </w:r>
      <w:r>
        <w:rPr>
          <w:rFonts w:hint="eastAsia" w:ascii="宋体" w:hAnsi="宋体" w:eastAsia="宋体" w:cs="宋体"/>
          <w:sz w:val="24"/>
          <w:szCs w:val="24"/>
        </w:rPr>
        <w:t>0kV</w:t>
      </w:r>
      <w:r>
        <w:rPr>
          <w:rFonts w:hint="eastAsia" w:ascii="宋体" w:hAnsi="宋体" w:eastAsia="宋体" w:cs="宋体"/>
          <w:sz w:val="24"/>
          <w:szCs w:val="24"/>
          <w:lang w:val="en-US" w:eastAsia="zh-CN"/>
        </w:rPr>
        <w:t>海上升压站构筑物及设备的</w:t>
      </w:r>
      <w:r>
        <w:rPr>
          <w:rFonts w:hint="eastAsia" w:ascii="宋体" w:hAnsi="宋体" w:eastAsia="宋体" w:cs="宋体"/>
          <w:sz w:val="24"/>
          <w:szCs w:val="24"/>
        </w:rPr>
        <w:t>设备接地网、避雷针、设备防护装置等；</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对检测发现的问题提出整改方案并完成复测。</w:t>
      </w:r>
    </w:p>
    <w:p>
      <w:pPr>
        <w:pStyle w:val="2"/>
        <w:numPr>
          <w:ilvl w:val="1"/>
          <w:numId w:val="0"/>
        </w:numPr>
        <w:tabs>
          <w:tab w:val="left" w:pos="720"/>
          <w:tab w:val="left" w:pos="2432"/>
        </w:tabs>
        <w:bidi w:val="0"/>
        <w:spacing w:line="360" w:lineRule="auto"/>
        <w:rPr>
          <w:rFonts w:hint="eastAsia" w:ascii="宋体" w:hAnsi="宋体" w:eastAsia="宋体" w:cs="宋体"/>
          <w:sz w:val="24"/>
          <w:szCs w:val="24"/>
          <w:lang w:val="en-US" w:eastAsia="zh-CN"/>
        </w:rPr>
      </w:pPr>
      <w:bookmarkStart w:id="70" w:name="_Toc4375"/>
      <w:bookmarkStart w:id="71" w:name="_Toc20931"/>
      <w:r>
        <w:rPr>
          <w:rFonts w:hint="eastAsia" w:ascii="宋体" w:hAnsi="宋体" w:eastAsia="宋体" w:cs="宋体"/>
          <w:sz w:val="24"/>
          <w:szCs w:val="24"/>
        </w:rPr>
        <w:t>3.</w:t>
      </w:r>
      <w:r>
        <w:rPr>
          <w:rFonts w:hint="eastAsia" w:ascii="宋体" w:hAnsi="宋体" w:eastAsia="宋体" w:cs="宋体"/>
          <w:sz w:val="24"/>
          <w:szCs w:val="24"/>
          <w:lang w:val="en-US" w:eastAsia="zh-CN"/>
        </w:rPr>
        <w:t>标准和一般要求</w:t>
      </w:r>
      <w:bookmarkEnd w:id="70"/>
      <w:bookmarkEnd w:id="71"/>
    </w:p>
    <w:p>
      <w:pPr>
        <w:pStyle w:val="4"/>
        <w:bidi w:val="0"/>
        <w:spacing w:line="360" w:lineRule="auto"/>
        <w:rPr>
          <w:rFonts w:hint="eastAsia" w:ascii="宋体" w:hAnsi="宋体" w:eastAsia="宋体" w:cs="宋体"/>
          <w:sz w:val="24"/>
          <w:szCs w:val="24"/>
          <w:lang w:val="en-US" w:eastAsia="zh-CN"/>
        </w:rPr>
      </w:pPr>
      <w:bookmarkStart w:id="72" w:name="_Toc24803"/>
      <w:bookmarkStart w:id="73" w:name="_Toc29642"/>
      <w:r>
        <w:rPr>
          <w:rFonts w:hint="eastAsia" w:ascii="宋体" w:hAnsi="宋体" w:eastAsia="宋体" w:cs="宋体"/>
          <w:sz w:val="24"/>
          <w:szCs w:val="24"/>
          <w:lang w:val="en-US" w:eastAsia="zh-CN"/>
        </w:rPr>
        <w:t>3.1标准依据</w:t>
      </w:r>
      <w:bookmarkEnd w:id="72"/>
      <w:bookmarkEnd w:id="73"/>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满足设计要求，满足现场使用需要，满足国家、行业的规范标准要求，包括但不限于以下内容：</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防雷减灾管理办法</w:t>
      </w:r>
      <w:r>
        <w:rPr>
          <w:rFonts w:hint="eastAsia" w:ascii="宋体" w:hAnsi="宋体" w:eastAsia="宋体" w:cs="宋体"/>
          <w:sz w:val="24"/>
          <w:szCs w:val="24"/>
        </w:rPr>
        <w:t>》（中国气象局令第2</w:t>
      </w:r>
      <w:r>
        <w:rPr>
          <w:rFonts w:hint="eastAsia" w:ascii="宋体" w:hAnsi="宋体" w:eastAsia="宋体" w:cs="宋体"/>
          <w:sz w:val="24"/>
          <w:szCs w:val="24"/>
          <w:lang w:val="en-US" w:eastAsia="zh-CN"/>
        </w:rPr>
        <w:t>0</w:t>
      </w:r>
      <w:r>
        <w:rPr>
          <w:rFonts w:hint="eastAsia" w:ascii="宋体" w:hAnsi="宋体" w:eastAsia="宋体" w:cs="宋体"/>
          <w:sz w:val="24"/>
          <w:szCs w:val="24"/>
        </w:rPr>
        <w:t>号）；</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（2）《建筑物防雷装置检测技术规范》GB/T21431-20</w:t>
      </w:r>
      <w:r>
        <w:rPr>
          <w:rFonts w:hint="eastAsia" w:ascii="宋体" w:hAnsi="宋体" w:eastAsia="宋体" w:cs="宋体"/>
          <w:sz w:val="24"/>
          <w:szCs w:val="24"/>
          <w:lang w:val="en-US" w:eastAsia="zh-CN"/>
        </w:rPr>
        <w:t>15</w:t>
      </w:r>
      <w:r>
        <w:rPr>
          <w:rFonts w:hint="eastAsia" w:ascii="宋体" w:hAnsi="宋体" w:eastAsia="宋体" w:cs="宋体"/>
          <w:sz w:val="24"/>
          <w:szCs w:val="24"/>
        </w:rPr>
        <w:t>；</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（3）《建筑物防雷设计规范》GB 50057-2010；</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（4）《建筑物电子信息系统防雷技术规范》GB 50343-2012；</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（5）《接地装置特性参数测量导则》</w:t>
      </w:r>
      <w:r>
        <w:rPr>
          <w:rFonts w:hint="eastAsia" w:ascii="宋体" w:hAnsi="宋体" w:eastAsia="宋体" w:cs="宋体"/>
          <w:sz w:val="24"/>
          <w:szCs w:val="24"/>
          <w:lang w:val="en-US" w:eastAsia="zh-CN"/>
        </w:rPr>
        <w:t>DL/T 475—2017</w:t>
      </w:r>
      <w:r>
        <w:rPr>
          <w:rFonts w:hint="eastAsia" w:ascii="宋体" w:hAnsi="宋体" w:eastAsia="宋体" w:cs="宋体"/>
          <w:sz w:val="24"/>
          <w:szCs w:val="24"/>
        </w:rPr>
        <w:t>；</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（6）《风力发电场设计规范》DL/T5383-2007；</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（7）《低压配电设计规范》GB50054-2011；</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）《交流电气装置接地》 DL/621-1997；</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《交流电气装置的接地设计规范》（GB/T 50065-2011）</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《风电场工程 110kV～220kV 海上升压变电站设计规范》（NB/T 3115-2017）</w:t>
      </w:r>
    </w:p>
    <w:p>
      <w:pPr>
        <w:pStyle w:val="4"/>
        <w:bidi w:val="0"/>
        <w:spacing w:line="360" w:lineRule="auto"/>
        <w:rPr>
          <w:rFonts w:hint="eastAsia" w:ascii="宋体" w:hAnsi="宋体" w:eastAsia="宋体" w:cs="宋体"/>
          <w:sz w:val="24"/>
          <w:szCs w:val="24"/>
          <w:lang w:val="en-US" w:eastAsia="zh-CN"/>
        </w:rPr>
      </w:pPr>
      <w:bookmarkStart w:id="74" w:name="_Toc24020"/>
      <w:bookmarkStart w:id="75" w:name="_Toc16957"/>
      <w:r>
        <w:rPr>
          <w:rFonts w:hint="eastAsia" w:ascii="宋体" w:hAnsi="宋体" w:eastAsia="宋体" w:cs="宋体"/>
          <w:sz w:val="24"/>
          <w:szCs w:val="24"/>
          <w:lang w:val="en-US" w:eastAsia="zh-CN"/>
        </w:rPr>
        <w:t>3.2资质要求</w:t>
      </w:r>
      <w:bookmarkEnd w:id="74"/>
      <w:bookmarkEnd w:id="75"/>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（1）检测单位资质：检测单位</w:t>
      </w:r>
      <w:r>
        <w:rPr>
          <w:rFonts w:hint="eastAsia" w:ascii="宋体" w:hAnsi="宋体" w:eastAsia="宋体" w:cs="宋体"/>
          <w:sz w:val="24"/>
          <w:szCs w:val="24"/>
        </w:rPr>
        <w:t>经营范围包含有防雷装置检测服务业务，并具有省气象局颁发的雷电防护装置检测资质证（甲级）。</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（2）检测人员资质：所有参与防雷装置安全检测的人员必须持有有效的防雷装置检测专业资格证书，并接受过相关的专业技术培训。</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（3）检测仪器要求：检测仪器应符合计量法规的规定，并在计量合格证有效期内。检测仪器的主要性能和参数需符合相关标准的要求。</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（4）检测环境要求：在检测过程中，应严格遵守相关的安全操作规程，以确保检测人员的安全和检测结果的准确性。</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检测记录与报告：对检测过程中获取的数据进行详细记录和整理，包括检测项目、检测结果、检测时间、检测人员等信息。检测数据应妥善保存，以便后续的查阅和分析。检测完成后，应出具正式的检测报告，报告内容应准确、完整、清晰。</w:t>
      </w:r>
    </w:p>
    <w:p>
      <w:pPr>
        <w:pStyle w:val="4"/>
        <w:bidi w:val="0"/>
        <w:spacing w:line="360" w:lineRule="auto"/>
        <w:rPr>
          <w:rFonts w:hint="eastAsia" w:ascii="宋体" w:hAnsi="宋体" w:eastAsia="宋体" w:cs="宋体"/>
          <w:sz w:val="24"/>
          <w:szCs w:val="24"/>
          <w:lang w:val="en-US" w:eastAsia="zh-CN"/>
        </w:rPr>
      </w:pPr>
      <w:bookmarkStart w:id="76" w:name="_Toc16959"/>
      <w:bookmarkStart w:id="77" w:name="_Toc3693"/>
      <w:r>
        <w:rPr>
          <w:rFonts w:hint="eastAsia" w:ascii="宋体" w:hAnsi="宋体" w:eastAsia="宋体" w:cs="宋体"/>
          <w:sz w:val="24"/>
          <w:szCs w:val="24"/>
          <w:lang w:val="en-US" w:eastAsia="zh-CN"/>
        </w:rPr>
        <w:t>3.3工期及要求</w:t>
      </w:r>
      <w:bookmarkEnd w:id="76"/>
      <w:bookmarkEnd w:id="77"/>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eastAsia="zh-CN"/>
        </w:rPr>
        <w:t>2025</w:t>
      </w:r>
      <w:r>
        <w:rPr>
          <w:rFonts w:hint="eastAsia" w:ascii="宋体" w:hAnsi="宋体" w:eastAsia="宋体" w:cs="宋体"/>
          <w:sz w:val="24"/>
          <w:szCs w:val="24"/>
        </w:rPr>
        <w:t>年度需进行</w:t>
      </w:r>
      <w:r>
        <w:rPr>
          <w:rFonts w:hint="eastAsia" w:ascii="宋体" w:hAnsi="宋体" w:eastAsia="宋体" w:cs="宋体"/>
          <w:sz w:val="24"/>
          <w:szCs w:val="24"/>
          <w:lang w:val="en-US" w:eastAsia="zh-CN"/>
        </w:rPr>
        <w:t>一</w:t>
      </w:r>
      <w:r>
        <w:rPr>
          <w:rFonts w:hint="eastAsia" w:ascii="宋体" w:hAnsi="宋体" w:eastAsia="宋体" w:cs="宋体"/>
          <w:sz w:val="24"/>
          <w:szCs w:val="24"/>
        </w:rPr>
        <w:t>次防雷检测。</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非天气原因及海上窗口原因，</w:t>
      </w:r>
      <w:r>
        <w:rPr>
          <w:rFonts w:hint="eastAsia" w:ascii="宋体" w:hAnsi="宋体" w:eastAsia="宋体" w:cs="宋体"/>
          <w:sz w:val="24"/>
          <w:szCs w:val="24"/>
        </w:rPr>
        <w:t>需于</w:t>
      </w:r>
      <w:r>
        <w:rPr>
          <w:rFonts w:hint="eastAsia" w:ascii="宋体" w:hAnsi="宋体" w:eastAsia="宋体" w:cs="宋体"/>
          <w:sz w:val="24"/>
          <w:szCs w:val="24"/>
          <w:lang w:val="en-US" w:eastAsia="zh-CN"/>
        </w:rPr>
        <w:t>合同签订后的45天内</w:t>
      </w:r>
      <w:r>
        <w:rPr>
          <w:rFonts w:hint="eastAsia" w:ascii="宋体" w:hAnsi="宋体" w:eastAsia="宋体" w:cs="宋体"/>
          <w:sz w:val="24"/>
          <w:szCs w:val="24"/>
        </w:rPr>
        <w:t>完成</w:t>
      </w:r>
      <w:r>
        <w:rPr>
          <w:rFonts w:hint="eastAsia" w:ascii="宋体" w:hAnsi="宋体" w:eastAsia="宋体" w:cs="宋体"/>
          <w:sz w:val="24"/>
          <w:szCs w:val="24"/>
          <w:lang w:val="en-US" w:eastAsia="zh-CN"/>
        </w:rPr>
        <w:t>龙下</w:t>
      </w:r>
      <w:r>
        <w:rPr>
          <w:rFonts w:hint="eastAsia" w:ascii="宋体" w:hAnsi="宋体" w:eastAsia="宋体" w:cs="宋体"/>
          <w:sz w:val="24"/>
          <w:szCs w:val="24"/>
        </w:rPr>
        <w:t>风电场防雷装置</w:t>
      </w:r>
      <w:r>
        <w:rPr>
          <w:rFonts w:hint="eastAsia" w:ascii="宋体" w:hAnsi="宋体" w:eastAsia="宋体" w:cs="宋体"/>
          <w:sz w:val="24"/>
          <w:szCs w:val="24"/>
          <w:lang w:val="en-US" w:eastAsia="zh-CN"/>
        </w:rPr>
        <w:t>安全性现场</w:t>
      </w:r>
      <w:r>
        <w:rPr>
          <w:rFonts w:hint="eastAsia" w:ascii="宋体" w:hAnsi="宋体" w:eastAsia="宋体" w:cs="宋体"/>
          <w:sz w:val="24"/>
          <w:szCs w:val="24"/>
        </w:rPr>
        <w:t>检测</w:t>
      </w:r>
      <w:r>
        <w:rPr>
          <w:rFonts w:hint="eastAsia" w:ascii="宋体" w:hAnsi="宋体" w:eastAsia="宋体" w:cs="宋体"/>
          <w:sz w:val="24"/>
          <w:szCs w:val="24"/>
          <w:lang w:val="en-US" w:eastAsia="zh-CN"/>
        </w:rPr>
        <w:t>工作。合同签订60天内出具</w:t>
      </w:r>
      <w:r>
        <w:rPr>
          <w:rFonts w:hint="eastAsia" w:ascii="宋体" w:hAnsi="宋体" w:eastAsia="宋体" w:cs="宋体"/>
          <w:sz w:val="24"/>
          <w:szCs w:val="24"/>
        </w:rPr>
        <w:t>《防雷装置检测报告》。</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）检测报告要具有测量资质单位盖章，检测工作开展需提前通知</w:t>
      </w:r>
      <w:r>
        <w:rPr>
          <w:rFonts w:hint="eastAsia" w:ascii="宋体" w:hAnsi="宋体" w:eastAsia="宋体" w:cs="宋体"/>
          <w:sz w:val="24"/>
          <w:szCs w:val="24"/>
          <w:lang w:val="en-US" w:eastAsia="zh-CN"/>
        </w:rPr>
        <w:t>龙下</w:t>
      </w:r>
      <w:r>
        <w:rPr>
          <w:rFonts w:hint="eastAsia" w:ascii="宋体" w:hAnsi="宋体" w:eastAsia="宋体" w:cs="宋体"/>
          <w:sz w:val="24"/>
          <w:szCs w:val="24"/>
        </w:rPr>
        <w:t>风电场，并由风电场安排人员配合。</w:t>
      </w:r>
    </w:p>
    <w:p>
      <w:pPr>
        <w:pStyle w:val="4"/>
        <w:bidi w:val="0"/>
        <w:spacing w:line="360" w:lineRule="auto"/>
        <w:rPr>
          <w:rFonts w:hint="eastAsia" w:ascii="宋体" w:hAnsi="宋体" w:eastAsia="宋体" w:cs="宋体"/>
          <w:sz w:val="24"/>
          <w:szCs w:val="24"/>
          <w:lang w:val="en-US" w:eastAsia="zh-CN"/>
        </w:rPr>
      </w:pPr>
      <w:bookmarkStart w:id="78" w:name="_Toc13495"/>
      <w:bookmarkStart w:id="79" w:name="_Toc29108"/>
      <w:r>
        <w:rPr>
          <w:rFonts w:hint="eastAsia" w:ascii="宋体" w:hAnsi="宋体" w:eastAsia="宋体" w:cs="宋体"/>
          <w:sz w:val="24"/>
          <w:szCs w:val="24"/>
          <w:lang w:val="en-US" w:eastAsia="zh-CN"/>
        </w:rPr>
        <w:t>3.4合同期限</w:t>
      </w:r>
      <w:bookmarkEnd w:id="78"/>
      <w:bookmarkEnd w:id="79"/>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合同签订之日起</w:t>
      </w:r>
      <w:r>
        <w:rPr>
          <w:rFonts w:hint="eastAsia" w:ascii="宋体" w:hAnsi="宋体" w:eastAsia="宋体" w:cs="宋体"/>
          <w:sz w:val="24"/>
          <w:szCs w:val="24"/>
          <w:lang w:val="en-US" w:eastAsia="zh-CN"/>
        </w:rPr>
        <w:t>60天</w:t>
      </w:r>
      <w:r>
        <w:rPr>
          <w:rFonts w:hint="eastAsia" w:ascii="宋体" w:hAnsi="宋体" w:eastAsia="宋体" w:cs="宋体"/>
          <w:sz w:val="24"/>
          <w:szCs w:val="24"/>
        </w:rPr>
        <w:t>。</w:t>
      </w:r>
    </w:p>
    <w:p>
      <w:pPr>
        <w:pStyle w:val="4"/>
        <w:bidi w:val="0"/>
        <w:spacing w:line="360" w:lineRule="auto"/>
        <w:rPr>
          <w:rFonts w:hint="eastAsia" w:ascii="宋体" w:hAnsi="宋体" w:eastAsia="宋体" w:cs="宋体"/>
          <w:sz w:val="24"/>
          <w:szCs w:val="24"/>
          <w:lang w:val="en-US" w:eastAsia="zh-CN"/>
        </w:rPr>
      </w:pPr>
      <w:bookmarkStart w:id="80" w:name="_Toc25869"/>
      <w:r>
        <w:rPr>
          <w:rFonts w:hint="eastAsia" w:ascii="宋体" w:hAnsi="宋体" w:eastAsia="宋体" w:cs="宋体"/>
          <w:sz w:val="24"/>
          <w:szCs w:val="24"/>
          <w:lang w:val="en-US" w:eastAsia="zh-CN"/>
        </w:rPr>
        <w:t>3.5其他</w:t>
      </w:r>
      <w:bookmarkEnd w:id="80"/>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检测单位</w:t>
      </w:r>
      <w:r>
        <w:rPr>
          <w:rFonts w:hint="eastAsia" w:ascii="宋体" w:hAnsi="宋体" w:eastAsia="宋体" w:cs="宋体"/>
          <w:sz w:val="24"/>
          <w:szCs w:val="24"/>
        </w:rPr>
        <w:t>自行踏勘现场</w:t>
      </w:r>
      <w:r>
        <w:rPr>
          <w:rFonts w:hint="eastAsia" w:ascii="宋体" w:hAnsi="宋体" w:eastAsia="宋体" w:cs="宋体"/>
          <w:sz w:val="24"/>
          <w:szCs w:val="24"/>
          <w:lang w:val="en-US" w:eastAsia="zh-CN"/>
        </w:rPr>
        <w:t>并完成现场检测，不得在雷雨等不符合安全规定的情况下开展检测工作</w:t>
      </w:r>
      <w:r>
        <w:rPr>
          <w:rFonts w:hint="eastAsia" w:ascii="宋体" w:hAnsi="宋体" w:eastAsia="宋体" w:cs="宋体"/>
          <w:sz w:val="24"/>
          <w:szCs w:val="24"/>
        </w:rPr>
        <w:t>；</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检测单位</w:t>
      </w:r>
      <w:r>
        <w:rPr>
          <w:rFonts w:hint="eastAsia" w:ascii="宋体" w:hAnsi="宋体" w:eastAsia="宋体" w:cs="宋体"/>
          <w:sz w:val="24"/>
          <w:szCs w:val="24"/>
        </w:rPr>
        <w:t>需对</w:t>
      </w:r>
      <w:r>
        <w:rPr>
          <w:rFonts w:hint="eastAsia" w:ascii="宋体" w:hAnsi="宋体" w:eastAsia="宋体" w:cs="宋体"/>
          <w:sz w:val="24"/>
          <w:szCs w:val="24"/>
          <w:lang w:val="en-US" w:eastAsia="zh-CN"/>
        </w:rPr>
        <w:t>本</w:t>
      </w:r>
      <w:r>
        <w:rPr>
          <w:rFonts w:hint="eastAsia" w:ascii="宋体" w:hAnsi="宋体" w:eastAsia="宋体" w:cs="宋体"/>
          <w:sz w:val="24"/>
          <w:szCs w:val="24"/>
        </w:rPr>
        <w:t>次检测进行报价；</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）技术服务应同时符合本</w:t>
      </w:r>
      <w:r>
        <w:rPr>
          <w:rFonts w:hint="eastAsia" w:ascii="宋体" w:hAnsi="宋体" w:eastAsia="宋体" w:cs="宋体"/>
          <w:sz w:val="24"/>
          <w:szCs w:val="24"/>
          <w:lang w:val="en-US" w:eastAsia="zh-CN"/>
        </w:rPr>
        <w:t>技术规范</w:t>
      </w:r>
      <w:r>
        <w:rPr>
          <w:rFonts w:hint="eastAsia" w:ascii="宋体" w:hAnsi="宋体" w:eastAsia="宋体" w:cs="宋体"/>
          <w:sz w:val="24"/>
          <w:szCs w:val="24"/>
        </w:rPr>
        <w:t>文件约定的质量技术标准、国家及行业标准；标准不一致的以最严格、最保守、最高规格的标准的约定为准。</w:t>
      </w:r>
    </w:p>
    <w:p>
      <w:pPr>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81" w:name="_Toc8644"/>
      <w:bookmarkStart w:id="82" w:name="_Toc5476"/>
      <w:r>
        <w:rPr>
          <w:rFonts w:hint="eastAsia" w:ascii="宋体" w:hAnsi="宋体" w:eastAsia="宋体" w:cs="宋体"/>
          <w:b/>
          <w:color w:val="auto"/>
          <w:sz w:val="24"/>
          <w:szCs w:val="24"/>
          <w:highlight w:val="none"/>
        </w:rPr>
        <w:t>三、技术服务</w:t>
      </w:r>
      <w:bookmarkEnd w:id="81"/>
      <w:bookmarkEnd w:id="82"/>
    </w:p>
    <w:p>
      <w:pPr>
        <w:pStyle w:val="2"/>
        <w:numPr>
          <w:ilvl w:val="1"/>
          <w:numId w:val="0"/>
        </w:numPr>
        <w:tabs>
          <w:tab w:val="left" w:pos="720"/>
          <w:tab w:val="left" w:pos="2432"/>
        </w:tabs>
        <w:bidi w:val="0"/>
        <w:spacing w:line="360" w:lineRule="auto"/>
        <w:rPr>
          <w:rFonts w:hint="eastAsia" w:ascii="宋体" w:hAnsi="宋体" w:eastAsia="宋体" w:cs="宋体"/>
          <w:sz w:val="24"/>
          <w:szCs w:val="24"/>
        </w:rPr>
      </w:pPr>
      <w:bookmarkStart w:id="83" w:name="_Toc15680"/>
      <w:bookmarkStart w:id="84" w:name="_Toc32621"/>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检测前准备</w:t>
      </w:r>
      <w:bookmarkEnd w:id="83"/>
      <w:bookmarkEnd w:id="84"/>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资料收集与审查：收集风电场防雷装置的设计图纸、施工图纸、设备清单等相关资料，并进行审查。了解风电场的防雷装置类型、数量、分布等情况，为检测工作做好准备。</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仪器校验与准备：对检测所需的仪器进行校验和准备，确保仪器性能良好、测量准确。同时，准备好检测所需的工具、材料等。</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检测方案制定：根据风电场的实际情况和检测要求，制定详细的检测方案。检测方案应包括检测项目、检测方法、检测人员分工、检测时间安排等内容。</w:t>
      </w:r>
    </w:p>
    <w:p>
      <w:pPr>
        <w:pStyle w:val="2"/>
        <w:numPr>
          <w:ilvl w:val="1"/>
          <w:numId w:val="0"/>
        </w:numPr>
        <w:tabs>
          <w:tab w:val="left" w:pos="720"/>
          <w:tab w:val="left" w:pos="2432"/>
        </w:tabs>
        <w:bidi w:val="0"/>
        <w:spacing w:line="360" w:lineRule="auto"/>
        <w:rPr>
          <w:rFonts w:hint="eastAsia" w:ascii="宋体" w:hAnsi="宋体" w:eastAsia="宋体" w:cs="宋体"/>
          <w:sz w:val="24"/>
          <w:szCs w:val="24"/>
        </w:rPr>
      </w:pPr>
      <w:bookmarkStart w:id="85" w:name="_Toc16793"/>
      <w:bookmarkStart w:id="86" w:name="_Toc1410"/>
      <w:r>
        <w:rPr>
          <w:rFonts w:hint="eastAsia" w:ascii="宋体" w:hAnsi="宋体" w:eastAsia="宋体" w:cs="宋体"/>
          <w:sz w:val="24"/>
          <w:szCs w:val="24"/>
          <w:lang w:val="en-US" w:eastAsia="zh-CN"/>
        </w:rPr>
        <w:t>2.</w:t>
      </w:r>
      <w:r>
        <w:rPr>
          <w:rFonts w:hint="eastAsia" w:ascii="宋体" w:hAnsi="宋体" w:eastAsia="宋体" w:cs="宋体"/>
          <w:sz w:val="24"/>
          <w:szCs w:val="24"/>
        </w:rPr>
        <w:t>现场检测服务</w:t>
      </w:r>
      <w:bookmarkEnd w:id="85"/>
      <w:bookmarkEnd w:id="86"/>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现场勘查与测量：按照</w:t>
      </w:r>
      <w:r>
        <w:rPr>
          <w:rFonts w:hint="eastAsia" w:ascii="宋体" w:hAnsi="宋体" w:eastAsia="宋体" w:cs="宋体"/>
          <w:sz w:val="24"/>
          <w:szCs w:val="24"/>
          <w:lang w:val="en-US" w:eastAsia="zh-CN"/>
        </w:rPr>
        <w:t>相关规程规范的</w:t>
      </w:r>
      <w:r>
        <w:rPr>
          <w:rFonts w:hint="eastAsia" w:ascii="宋体" w:hAnsi="宋体" w:eastAsia="宋体" w:cs="宋体"/>
          <w:sz w:val="24"/>
          <w:szCs w:val="24"/>
        </w:rPr>
        <w:t>检测方案的要求，对风电场进行现场勘查和测量。检查防雷装置的安装情况、</w:t>
      </w:r>
      <w:r>
        <w:rPr>
          <w:rFonts w:hint="eastAsia" w:ascii="宋体" w:hAnsi="宋体" w:cs="宋体"/>
          <w:sz w:val="24"/>
          <w:szCs w:val="24"/>
          <w:lang w:eastAsia="zh-CN"/>
        </w:rPr>
        <w:t>联结</w:t>
      </w:r>
      <w:r>
        <w:rPr>
          <w:rFonts w:hint="eastAsia" w:ascii="宋体" w:hAnsi="宋体" w:eastAsia="宋体" w:cs="宋体"/>
          <w:sz w:val="24"/>
          <w:szCs w:val="24"/>
        </w:rPr>
        <w:t>情况、导通性等，测量接地电阻值、等电位</w:t>
      </w:r>
      <w:r>
        <w:rPr>
          <w:rFonts w:hint="eastAsia" w:ascii="宋体" w:hAnsi="宋体" w:cs="宋体"/>
          <w:sz w:val="24"/>
          <w:szCs w:val="24"/>
          <w:lang w:eastAsia="zh-CN"/>
        </w:rPr>
        <w:t>联结</w:t>
      </w:r>
      <w:r>
        <w:rPr>
          <w:rFonts w:hint="eastAsia" w:ascii="宋体" w:hAnsi="宋体" w:eastAsia="宋体" w:cs="宋体"/>
          <w:sz w:val="24"/>
          <w:szCs w:val="24"/>
        </w:rPr>
        <w:t>电阻值等关键指标。同时，记录检测过程中的异常情况和处理方法。</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数据记录与分析：对检测过程中获取的数据进行详细记录和分析。将检测数据与标准规范进行对比，评估防雷装置的性能和安全性。对于检测中发现的问题和隐患，应及时</w:t>
      </w:r>
      <w:r>
        <w:rPr>
          <w:rFonts w:hint="eastAsia" w:ascii="宋体" w:hAnsi="宋体" w:eastAsia="宋体" w:cs="宋体"/>
          <w:sz w:val="24"/>
          <w:szCs w:val="24"/>
          <w:lang w:val="en-US" w:eastAsia="zh-CN"/>
        </w:rPr>
        <w:t>告知业主</w:t>
      </w:r>
      <w:r>
        <w:rPr>
          <w:rFonts w:hint="eastAsia" w:ascii="宋体" w:hAnsi="宋体" w:eastAsia="宋体" w:cs="宋体"/>
          <w:sz w:val="24"/>
          <w:szCs w:val="24"/>
        </w:rPr>
        <w:t>单位</w:t>
      </w:r>
      <w:r>
        <w:rPr>
          <w:rFonts w:hint="eastAsia" w:ascii="宋体" w:hAnsi="宋体" w:eastAsia="宋体" w:cs="宋体"/>
          <w:sz w:val="24"/>
          <w:szCs w:val="24"/>
          <w:lang w:val="en-US" w:eastAsia="zh-CN"/>
        </w:rPr>
        <w:t>，并指导</w:t>
      </w:r>
      <w:r>
        <w:rPr>
          <w:rFonts w:hint="eastAsia" w:ascii="宋体" w:hAnsi="宋体" w:eastAsia="宋体" w:cs="宋体"/>
          <w:sz w:val="24"/>
          <w:szCs w:val="24"/>
        </w:rPr>
        <w:t>处理和整改。</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检测报告编制与出具：根据检测数据和分析结果，编制正式的检测报告。检测报告应包括检测项目、检测方法、检测结果、问题分析、整改建议等内容。检测报告应准确、完整、清晰，便于查阅和分析。同时，将检测报告及时提交给风电场管理单位，为风电场的防雷安全工作提供技术支持。</w:t>
      </w:r>
    </w:p>
    <w:p>
      <w:pPr>
        <w:pStyle w:val="2"/>
        <w:numPr>
          <w:ilvl w:val="1"/>
          <w:numId w:val="0"/>
        </w:numPr>
        <w:tabs>
          <w:tab w:val="left" w:pos="720"/>
          <w:tab w:val="left" w:pos="2432"/>
        </w:tabs>
        <w:bidi w:val="0"/>
        <w:spacing w:line="360" w:lineRule="auto"/>
        <w:rPr>
          <w:rFonts w:hint="eastAsia" w:ascii="宋体" w:hAnsi="宋体" w:eastAsia="宋体" w:cs="宋体"/>
          <w:sz w:val="24"/>
          <w:szCs w:val="24"/>
        </w:rPr>
      </w:pPr>
      <w:bookmarkStart w:id="87" w:name="_Toc12108"/>
      <w:bookmarkStart w:id="88" w:name="_Toc26096"/>
      <w:r>
        <w:rPr>
          <w:rFonts w:hint="eastAsia" w:ascii="宋体" w:hAnsi="宋体" w:eastAsia="宋体" w:cs="宋体"/>
          <w:sz w:val="24"/>
          <w:szCs w:val="24"/>
        </w:rPr>
        <w:t>3.后续服务</w:t>
      </w:r>
      <w:bookmarkEnd w:id="87"/>
      <w:bookmarkEnd w:id="88"/>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整改指导与监督：针对检测中发现的问题和隐患，提供详细的整改指导方案。监督风电场管理单位按照整改方案进行整改，确保整改工作得到有效落实。同时，对整改后的防雷装置进行重新检测，确保整改效果符合要求。</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）技术咨询与培训：为风电场管理单位提供防雷装置安全检测方面的技术咨询和培训服务。解答风电场管理单位在防雷装置安全检测方面遇到的问题和困惑，提高其防雷安全意识和技能水平。同时，</w:t>
      </w:r>
      <w:r>
        <w:rPr>
          <w:rFonts w:hint="eastAsia" w:ascii="宋体" w:hAnsi="宋体" w:eastAsia="宋体" w:cs="宋体"/>
          <w:sz w:val="24"/>
          <w:szCs w:val="24"/>
          <w:lang w:val="en-US" w:eastAsia="zh-CN"/>
        </w:rPr>
        <w:t>在2025年内根据业主单位时间安排提供一次</w:t>
      </w:r>
      <w:r>
        <w:rPr>
          <w:rFonts w:hint="eastAsia" w:ascii="宋体" w:hAnsi="宋体" w:eastAsia="宋体" w:cs="宋体"/>
          <w:sz w:val="24"/>
          <w:szCs w:val="24"/>
          <w:lang w:eastAsia="zh-CN"/>
        </w:rPr>
        <w:t>防雷装置安全检测培训，提高</w:t>
      </w:r>
      <w:r>
        <w:rPr>
          <w:rFonts w:hint="eastAsia" w:ascii="宋体" w:hAnsi="宋体" w:eastAsia="宋体" w:cs="宋体"/>
          <w:sz w:val="24"/>
          <w:szCs w:val="24"/>
          <w:lang w:val="en-US" w:eastAsia="zh-CN"/>
        </w:rPr>
        <w:t>业主</w:t>
      </w:r>
      <w:r>
        <w:rPr>
          <w:rFonts w:hint="eastAsia" w:ascii="宋体" w:hAnsi="宋体" w:eastAsia="宋体" w:cs="宋体"/>
          <w:sz w:val="24"/>
          <w:szCs w:val="24"/>
          <w:lang w:eastAsia="zh-CN"/>
        </w:rPr>
        <w:t>单位</w:t>
      </w:r>
      <w:r>
        <w:rPr>
          <w:rFonts w:hint="eastAsia" w:ascii="宋体" w:hAnsi="宋体" w:eastAsia="宋体" w:cs="宋体"/>
          <w:sz w:val="24"/>
          <w:szCs w:val="24"/>
          <w:lang w:val="en-US" w:eastAsia="zh-CN"/>
        </w:rPr>
        <w:t>相关</w:t>
      </w:r>
      <w:r>
        <w:rPr>
          <w:rFonts w:hint="eastAsia" w:ascii="宋体" w:hAnsi="宋体" w:eastAsia="宋体" w:cs="宋体"/>
          <w:sz w:val="24"/>
          <w:szCs w:val="24"/>
          <w:lang w:eastAsia="zh-CN"/>
        </w:rPr>
        <w:t>人员的专业素质和技能水平。</w:t>
      </w:r>
    </w:p>
    <w:p>
      <w:pPr>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89" w:name="_Toc29228"/>
      <w:bookmarkStart w:id="90" w:name="_Toc13642"/>
      <w:r>
        <w:rPr>
          <w:rFonts w:hint="eastAsia" w:ascii="宋体" w:hAnsi="宋体" w:eastAsia="宋体" w:cs="宋体"/>
          <w:b/>
          <w:color w:val="auto"/>
          <w:sz w:val="24"/>
          <w:szCs w:val="24"/>
          <w:highlight w:val="none"/>
        </w:rPr>
        <w:t>四、工器具</w:t>
      </w:r>
      <w:bookmarkEnd w:id="89"/>
      <w:bookmarkEnd w:id="90"/>
    </w:p>
    <w:p>
      <w:pPr>
        <w:pStyle w:val="2"/>
        <w:numPr>
          <w:ilvl w:val="1"/>
          <w:numId w:val="0"/>
        </w:numPr>
        <w:tabs>
          <w:tab w:val="left" w:pos="720"/>
          <w:tab w:val="left" w:pos="2432"/>
        </w:tabs>
        <w:bidi w:val="0"/>
        <w:spacing w:line="360" w:lineRule="auto"/>
        <w:rPr>
          <w:rFonts w:hint="eastAsia" w:ascii="宋体" w:hAnsi="宋体" w:eastAsia="宋体" w:cs="宋体"/>
          <w:sz w:val="24"/>
          <w:szCs w:val="24"/>
        </w:rPr>
      </w:pPr>
      <w:bookmarkStart w:id="91" w:name="_Toc23371"/>
      <w:bookmarkStart w:id="92" w:name="_Toc20743"/>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专业工器具</w:t>
      </w:r>
      <w:bookmarkEnd w:id="91"/>
      <w:bookmarkEnd w:id="92"/>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专业工器具是防雷装置安全检测工作的重要组成部分。以下是进行风电场构筑物防雷装置安全检测所需的主要专业工器具：</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）接地电阻测试仪：用于测量接地装置的接地电阻值。接地电阻测试仪应具有高精度、操作简单等特点，能够准确测量各种类型接地装置的接地电阻值。</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）大地网测试仪：用于检测风电场内的大地网参数，如接地阻抗、电气完整性等。</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）等电位测试仪：用于测试风电场内部金属构件、电气装置之间的等电位</w:t>
      </w:r>
      <w:r>
        <w:rPr>
          <w:rFonts w:hint="eastAsia" w:ascii="宋体" w:hAnsi="宋体" w:cs="宋体"/>
          <w:sz w:val="24"/>
          <w:szCs w:val="24"/>
          <w:lang w:eastAsia="zh-CN"/>
        </w:rPr>
        <w:t>联结</w:t>
      </w:r>
      <w:r>
        <w:rPr>
          <w:rFonts w:hint="eastAsia" w:ascii="宋体" w:hAnsi="宋体" w:eastAsia="宋体" w:cs="宋体"/>
          <w:sz w:val="24"/>
          <w:szCs w:val="24"/>
          <w:lang w:eastAsia="zh-CN"/>
        </w:rPr>
        <w:t>情况。</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）电涌保护器测试仪：用于检测电涌保护器的性能参数，如压敏电压、漏电流等。</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）绝缘电阻测试仪：用于测量防雷装置的绝缘电阻，确保设备安全可靠。</w:t>
      </w:r>
    </w:p>
    <w:p>
      <w:pPr>
        <w:pStyle w:val="2"/>
        <w:numPr>
          <w:ilvl w:val="1"/>
          <w:numId w:val="0"/>
        </w:numPr>
        <w:tabs>
          <w:tab w:val="left" w:pos="720"/>
          <w:tab w:val="left" w:pos="2432"/>
        </w:tabs>
        <w:bidi w:val="0"/>
        <w:spacing w:line="360" w:lineRule="auto"/>
        <w:rPr>
          <w:rFonts w:hint="eastAsia" w:ascii="宋体" w:hAnsi="宋体" w:eastAsia="宋体" w:cs="宋体"/>
          <w:sz w:val="24"/>
          <w:szCs w:val="24"/>
          <w:lang w:val="en-US" w:eastAsia="zh-CN"/>
        </w:rPr>
      </w:pPr>
      <w:bookmarkStart w:id="93" w:name="_Toc4492"/>
      <w:bookmarkStart w:id="94" w:name="_Toc17781"/>
      <w:r>
        <w:rPr>
          <w:rFonts w:hint="eastAsia" w:ascii="宋体" w:hAnsi="宋体" w:eastAsia="宋体" w:cs="宋体"/>
          <w:sz w:val="24"/>
          <w:szCs w:val="24"/>
          <w:lang w:val="en-US" w:eastAsia="zh-CN"/>
        </w:rPr>
        <w:t>2.</w:t>
      </w:r>
      <w:r>
        <w:rPr>
          <w:rFonts w:hint="eastAsia" w:ascii="宋体" w:hAnsi="宋体" w:eastAsia="宋体" w:cs="宋体"/>
          <w:sz w:val="24"/>
          <w:szCs w:val="24"/>
        </w:rPr>
        <w:t>施工工器具</w:t>
      </w:r>
      <w:bookmarkEnd w:id="93"/>
      <w:bookmarkEnd w:id="94"/>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在进行风电场构筑物防雷装置安全检测项目时，除了专业工器具外，还需要一些施工工器具来辅助完成检测工作。以下是施工工器具的补充清单：</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）安全带：用于检测人员在高处作业时保障其安全。</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）安全帽：用于保护检测人员的头部安全，防止物体坠落造成损伤。</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）防护手套：用于保护检测人员的手部安全，防止手部受伤或受到污染。</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）防护眼镜：用于保护检测人员的眼睛，防止灰尘、飞溅物等进入眼睛造成伤害。</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）安全鞋：用于保护检测人员的脚部安全，防止脚部受伤或滑倒。</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）绝缘梯：用于在检测过程中需要登高作业时，提供安全的登高平台。</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）安全绳：用于在检测过程中需要悬挂作业时，提供安全保障。</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）多功能工具箱：包含各种常用的手动工具，如螺丝刀、扳手、钳子等，用于处理检测过程中可能出现的各种小问题。</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）手电筒或头灯：用于在夜间或光线不足的环境中提供照明，确保检测工作的顺利进行。</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）对讲机：用于检测人员之间的通讯，确保信息的及时传递和沟通。</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施工工器具的使用应严格遵循相关安全操作规程，确保检测人员的安全和健康。同时，在检测过程中，应定期对施工工器具进行检查和维护，确保其处于良好的工作状态。</w:t>
      </w:r>
    </w:p>
    <w:p>
      <w:pPr>
        <w:adjustRightInd w:val="0"/>
        <w:snapToGrid w:val="0"/>
        <w:spacing w:line="360" w:lineRule="auto"/>
        <w:ind w:firstLine="482" w:firstLineChars="200"/>
        <w:jc w:val="both"/>
        <w:outlineLvl w:val="0"/>
        <w:rPr>
          <w:rFonts w:hint="eastAsia" w:ascii="宋体" w:hAnsi="宋体" w:eastAsia="宋体" w:cs="宋体"/>
          <w:b/>
          <w:color w:val="auto"/>
          <w:sz w:val="24"/>
          <w:szCs w:val="24"/>
          <w:highlight w:val="none"/>
        </w:rPr>
      </w:pPr>
      <w:bookmarkStart w:id="95" w:name="_Toc24287"/>
      <w:bookmarkStart w:id="96" w:name="_Toc2220"/>
      <w:r>
        <w:rPr>
          <w:rFonts w:hint="eastAsia" w:ascii="宋体" w:hAnsi="宋体" w:eastAsia="宋体" w:cs="宋体"/>
          <w:b/>
          <w:color w:val="auto"/>
          <w:sz w:val="24"/>
          <w:szCs w:val="24"/>
          <w:highlight w:val="none"/>
        </w:rPr>
        <w:t>五、甲乙双方权利义务</w:t>
      </w:r>
      <w:bookmarkEnd w:id="95"/>
      <w:bookmarkEnd w:id="96"/>
    </w:p>
    <w:p>
      <w:pPr>
        <w:pStyle w:val="2"/>
        <w:numPr>
          <w:ilvl w:val="1"/>
          <w:numId w:val="0"/>
        </w:numPr>
        <w:tabs>
          <w:tab w:val="left" w:pos="720"/>
          <w:tab w:val="left" w:pos="2432"/>
        </w:tabs>
        <w:bidi w:val="0"/>
        <w:spacing w:line="360" w:lineRule="auto"/>
        <w:rPr>
          <w:rFonts w:hint="eastAsia" w:ascii="宋体" w:hAnsi="宋体" w:eastAsia="宋体" w:cs="宋体"/>
          <w:sz w:val="24"/>
          <w:szCs w:val="24"/>
        </w:rPr>
      </w:pPr>
      <w:bookmarkStart w:id="97" w:name="_Toc23958"/>
      <w:bookmarkStart w:id="98" w:name="_Toc29043"/>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甲方（</w:t>
      </w:r>
      <w:r>
        <w:rPr>
          <w:rFonts w:hint="eastAsia" w:ascii="宋体" w:hAnsi="宋体" w:eastAsia="宋体" w:cs="宋体"/>
          <w:sz w:val="24"/>
          <w:szCs w:val="24"/>
          <w:lang w:val="en-US" w:eastAsia="zh-CN"/>
        </w:rPr>
        <w:t>福能海峡发电有限公司</w:t>
      </w:r>
      <w:r>
        <w:rPr>
          <w:rFonts w:hint="eastAsia" w:ascii="宋体" w:hAnsi="宋体" w:eastAsia="宋体" w:cs="宋体"/>
          <w:sz w:val="24"/>
          <w:szCs w:val="24"/>
        </w:rPr>
        <w:t>）权利义务</w:t>
      </w:r>
      <w:bookmarkEnd w:id="97"/>
      <w:bookmarkEnd w:id="98"/>
    </w:p>
    <w:p>
      <w:pPr>
        <w:bidi w:val="0"/>
        <w:spacing w:line="360" w:lineRule="auto"/>
        <w:ind w:firstLine="480" w:firstLineChars="200"/>
        <w:outlineLvl w:val="2"/>
        <w:rPr>
          <w:rFonts w:hint="eastAsia" w:ascii="宋体" w:hAnsi="宋体" w:eastAsia="宋体" w:cs="宋体"/>
          <w:sz w:val="24"/>
          <w:szCs w:val="24"/>
          <w:lang w:eastAsia="zh-CN"/>
        </w:rPr>
      </w:pPr>
      <w:bookmarkStart w:id="99" w:name="_Toc5227"/>
      <w:bookmarkStart w:id="100" w:name="_Toc4013"/>
      <w:bookmarkStart w:id="101" w:name="_Toc22563"/>
      <w:r>
        <w:rPr>
          <w:rFonts w:hint="eastAsia" w:ascii="宋体" w:hAnsi="宋体" w:eastAsia="宋体" w:cs="宋体"/>
          <w:sz w:val="24"/>
          <w:szCs w:val="24"/>
        </w:rPr>
        <w:t>权</w:t>
      </w:r>
      <w:r>
        <w:rPr>
          <w:rFonts w:hint="eastAsia" w:ascii="宋体" w:hAnsi="宋体" w:eastAsia="宋体" w:cs="宋体"/>
          <w:sz w:val="24"/>
          <w:szCs w:val="24"/>
          <w:lang w:eastAsia="zh-CN"/>
        </w:rPr>
        <w:t>利：</w:t>
      </w:r>
      <w:bookmarkEnd w:id="99"/>
      <w:bookmarkEnd w:id="100"/>
      <w:bookmarkEnd w:id="101"/>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）监督权：甲方有权对乙方的检测过程进行监督，确保检测工作符合规范要求。</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）知情权：甲方有权了解检测工作的进展情况、检测结果及整改建议。</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）验收权：甲方有权对乙方提供的检测报告进行验收，确保检测内容完整、准确。</w:t>
      </w:r>
    </w:p>
    <w:p>
      <w:pPr>
        <w:bidi w:val="0"/>
        <w:spacing w:line="360" w:lineRule="auto"/>
        <w:ind w:firstLine="480" w:firstLineChars="200"/>
        <w:outlineLvl w:val="9"/>
        <w:rPr>
          <w:rFonts w:hint="eastAsia" w:ascii="宋体" w:hAnsi="宋体" w:eastAsia="宋体" w:cs="宋体"/>
          <w:sz w:val="24"/>
          <w:szCs w:val="24"/>
          <w:lang w:eastAsia="zh-CN"/>
        </w:rPr>
      </w:pPr>
      <w:bookmarkStart w:id="102" w:name="_Toc29713"/>
      <w:bookmarkStart w:id="103" w:name="_Toc30168"/>
      <w:r>
        <w:rPr>
          <w:rFonts w:hint="eastAsia" w:ascii="宋体" w:hAnsi="宋体" w:eastAsia="宋体" w:cs="宋体"/>
          <w:sz w:val="24"/>
          <w:szCs w:val="24"/>
          <w:lang w:eastAsia="zh-CN"/>
        </w:rPr>
        <w:t>义务：</w:t>
      </w:r>
      <w:bookmarkEnd w:id="102"/>
      <w:bookmarkEnd w:id="103"/>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）配合义务：甲方应配合乙方做好检测前的准备工作，如提供相关资料、协调检测时间、</w:t>
      </w:r>
      <w:r>
        <w:rPr>
          <w:rFonts w:hint="eastAsia" w:ascii="宋体" w:hAnsi="宋体" w:eastAsia="宋体" w:cs="宋体"/>
          <w:sz w:val="24"/>
          <w:szCs w:val="24"/>
          <w:lang w:val="en-US" w:eastAsia="zh-CN"/>
        </w:rPr>
        <w:t>运维交通船</w:t>
      </w:r>
      <w:r>
        <w:rPr>
          <w:rFonts w:hint="eastAsia" w:ascii="宋体" w:hAnsi="宋体" w:eastAsia="宋体" w:cs="宋体"/>
          <w:sz w:val="24"/>
          <w:szCs w:val="24"/>
          <w:lang w:eastAsia="zh-CN"/>
        </w:rPr>
        <w:t>等。</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）安全保障义务：</w:t>
      </w:r>
      <w:r>
        <w:rPr>
          <w:rFonts w:hint="eastAsia" w:ascii="宋体" w:hAnsi="宋体" w:eastAsia="宋体" w:cs="宋体"/>
          <w:sz w:val="24"/>
          <w:szCs w:val="24"/>
          <w:lang w:val="en-US" w:eastAsia="zh-CN"/>
        </w:rPr>
        <w:t>做好</w:t>
      </w:r>
      <w:r>
        <w:rPr>
          <w:rFonts w:hint="eastAsia" w:ascii="宋体" w:hAnsi="宋体" w:eastAsia="宋体" w:cs="宋体"/>
          <w:sz w:val="24"/>
          <w:szCs w:val="24"/>
          <w:lang w:eastAsia="zh-CN"/>
        </w:rPr>
        <w:t>检测现场的安全</w:t>
      </w:r>
      <w:r>
        <w:rPr>
          <w:rFonts w:hint="eastAsia" w:ascii="宋体" w:hAnsi="宋体" w:eastAsia="宋体" w:cs="宋体"/>
          <w:sz w:val="24"/>
          <w:szCs w:val="24"/>
          <w:lang w:val="en-US" w:eastAsia="zh-CN"/>
        </w:rPr>
        <w:t>措施</w:t>
      </w:r>
      <w:r>
        <w:rPr>
          <w:rFonts w:hint="eastAsia" w:ascii="宋体" w:hAnsi="宋体" w:eastAsia="宋体" w:cs="宋体"/>
          <w:sz w:val="24"/>
          <w:szCs w:val="24"/>
          <w:lang w:eastAsia="zh-CN"/>
        </w:rPr>
        <w:t>，为乙方提供必要的安全防护措施。</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）整改义务：甲方应根据乙方的整改建议，及时对防雷装置进行整改，确保防雷安全。</w:t>
      </w:r>
    </w:p>
    <w:p>
      <w:pPr>
        <w:pStyle w:val="2"/>
        <w:numPr>
          <w:ilvl w:val="1"/>
          <w:numId w:val="0"/>
        </w:numPr>
        <w:tabs>
          <w:tab w:val="left" w:pos="720"/>
          <w:tab w:val="left" w:pos="2432"/>
        </w:tabs>
        <w:bidi w:val="0"/>
        <w:spacing w:line="360" w:lineRule="auto"/>
        <w:rPr>
          <w:rFonts w:hint="eastAsia" w:ascii="宋体" w:hAnsi="宋体" w:eastAsia="宋体" w:cs="宋体"/>
          <w:sz w:val="24"/>
          <w:szCs w:val="24"/>
        </w:rPr>
      </w:pPr>
      <w:bookmarkStart w:id="104" w:name="_Toc9028"/>
      <w:bookmarkStart w:id="105" w:name="_Toc17420"/>
      <w:r>
        <w:rPr>
          <w:rFonts w:hint="eastAsia" w:ascii="宋体" w:hAnsi="宋体" w:eastAsia="宋体" w:cs="宋体"/>
          <w:sz w:val="24"/>
          <w:szCs w:val="24"/>
          <w:lang w:val="en-US" w:eastAsia="zh-CN"/>
        </w:rPr>
        <w:t>2.</w:t>
      </w:r>
      <w:r>
        <w:rPr>
          <w:rFonts w:hint="eastAsia" w:ascii="宋体" w:hAnsi="宋体" w:eastAsia="宋体" w:cs="宋体"/>
          <w:sz w:val="24"/>
          <w:szCs w:val="24"/>
        </w:rPr>
        <w:t>乙方（防雷检测机构）权利义务</w:t>
      </w:r>
      <w:bookmarkEnd w:id="104"/>
      <w:bookmarkEnd w:id="105"/>
    </w:p>
    <w:p>
      <w:pPr>
        <w:bidi w:val="0"/>
        <w:spacing w:line="360" w:lineRule="auto"/>
        <w:ind w:firstLine="480" w:firstLineChars="200"/>
        <w:outlineLvl w:val="9"/>
        <w:rPr>
          <w:rFonts w:hint="eastAsia" w:ascii="宋体" w:hAnsi="宋体" w:eastAsia="宋体" w:cs="宋体"/>
          <w:sz w:val="24"/>
          <w:szCs w:val="24"/>
        </w:rPr>
      </w:pPr>
      <w:bookmarkStart w:id="106" w:name="_Toc12200"/>
      <w:bookmarkStart w:id="107" w:name="_Toc21464"/>
      <w:r>
        <w:rPr>
          <w:rFonts w:hint="eastAsia" w:ascii="宋体" w:hAnsi="宋体" w:eastAsia="宋体" w:cs="宋体"/>
          <w:sz w:val="24"/>
          <w:szCs w:val="24"/>
        </w:rPr>
        <w:t>权利：</w:t>
      </w:r>
      <w:bookmarkEnd w:id="106"/>
      <w:bookmarkEnd w:id="107"/>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）检测权：乙方有权按照检测方案对风电场的防雷装置进行检测，获取检测数据。</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）报告编制权：乙方有权根据检测数据和分析结果，编制检测报告，并提出整改建议。</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）费用收取权：乙方有权按照合同约定，向甲方收取检测费用。</w:t>
      </w:r>
    </w:p>
    <w:p>
      <w:pPr>
        <w:bidi w:val="0"/>
        <w:spacing w:line="360" w:lineRule="auto"/>
        <w:ind w:firstLine="480" w:firstLineChars="200"/>
        <w:outlineLvl w:val="9"/>
        <w:rPr>
          <w:rFonts w:hint="eastAsia" w:ascii="宋体" w:hAnsi="宋体" w:eastAsia="宋体" w:cs="宋体"/>
          <w:sz w:val="24"/>
          <w:szCs w:val="24"/>
          <w:lang w:eastAsia="zh-CN"/>
        </w:rPr>
      </w:pPr>
      <w:bookmarkStart w:id="108" w:name="_Toc18149"/>
      <w:bookmarkStart w:id="109" w:name="_Toc19908"/>
      <w:r>
        <w:rPr>
          <w:rFonts w:hint="eastAsia" w:ascii="宋体" w:hAnsi="宋体" w:eastAsia="宋体" w:cs="宋体"/>
          <w:sz w:val="24"/>
          <w:szCs w:val="24"/>
          <w:lang w:eastAsia="zh-CN"/>
        </w:rPr>
        <w:t>义务：</w:t>
      </w:r>
      <w:bookmarkEnd w:id="108"/>
      <w:bookmarkEnd w:id="109"/>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）专业义务：乙方应具备相应的防雷检测资质和专业技能，确保检测结果的准确性和可靠性。</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）保密义务：乙方应对甲方的相关资料和检测数据保密，不得泄露给第三方。</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）报告义务：乙方应按照合同约定，及时向甲方提供检测报告和整改建议。</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）整改指导义务：乙方应根据甲方的需求，对整改工作进行指导和跟踪，确保整改效果符合要求。</w:t>
      </w:r>
    </w:p>
    <w:p>
      <w:pPr>
        <w:bidi w:val="0"/>
        <w:adjustRightInd w:val="0"/>
        <w:snapToGrid w:val="0"/>
        <w:spacing w:line="360" w:lineRule="auto"/>
        <w:ind w:firstLine="480"/>
        <w:jc w:val="both"/>
        <w:outlineLvl w:val="0"/>
        <w:rPr>
          <w:rFonts w:hint="eastAsia" w:ascii="宋体" w:hAnsi="宋体" w:eastAsia="宋体" w:cs="宋体"/>
          <w:sz w:val="24"/>
          <w:szCs w:val="24"/>
          <w:lang w:val="en-US" w:eastAsia="zh-CN"/>
        </w:rPr>
      </w:pPr>
      <w:bookmarkStart w:id="110" w:name="_Toc15099"/>
      <w:bookmarkStart w:id="111" w:name="_Toc23158"/>
      <w:bookmarkStart w:id="112" w:name="_Toc22356"/>
      <w:bookmarkStart w:id="113" w:name="_Toc5406"/>
      <w:bookmarkStart w:id="114" w:name="_Toc15736"/>
      <w:bookmarkStart w:id="115" w:name="_Toc16019"/>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考核要求</w:t>
      </w:r>
      <w:bookmarkEnd w:id="110"/>
      <w:bookmarkEnd w:id="111"/>
      <w:bookmarkEnd w:id="112"/>
      <w:bookmarkEnd w:id="113"/>
      <w:bookmarkEnd w:id="114"/>
      <w:bookmarkEnd w:id="115"/>
    </w:p>
    <w:p>
      <w:pPr>
        <w:bidi w:val="0"/>
        <w:spacing w:line="360" w:lineRule="auto"/>
        <w:rPr>
          <w:rFonts w:hint="eastAsia" w:ascii="宋体" w:hAnsi="宋体" w:eastAsia="宋体" w:cs="宋体"/>
          <w:sz w:val="24"/>
          <w:szCs w:val="24"/>
          <w:lang w:val="en-US" w:eastAsia="zh-CN"/>
        </w:rPr>
      </w:pPr>
      <w:bookmarkStart w:id="116" w:name="_Toc11437"/>
      <w:bookmarkStart w:id="117" w:name="_Toc31028"/>
      <w:bookmarkStart w:id="118" w:name="_Toc2818"/>
      <w:bookmarkStart w:id="119" w:name="_Toc9363"/>
      <w:r>
        <w:rPr>
          <w:rFonts w:hint="eastAsia" w:ascii="宋体" w:hAnsi="宋体" w:eastAsia="宋体" w:cs="宋体"/>
          <w:sz w:val="24"/>
          <w:szCs w:val="24"/>
          <w:lang w:val="en-US" w:eastAsia="zh-CN"/>
        </w:rPr>
        <w:t>1.</w:t>
      </w:r>
      <w:r>
        <w:rPr>
          <w:rFonts w:hint="eastAsia" w:ascii="宋体" w:hAnsi="宋体" w:eastAsia="宋体" w:cs="宋体"/>
          <w:sz w:val="24"/>
          <w:szCs w:val="24"/>
        </w:rPr>
        <w:t>乙方</w:t>
      </w:r>
      <w:r>
        <w:rPr>
          <w:rFonts w:hint="eastAsia" w:ascii="宋体" w:hAnsi="宋体" w:eastAsia="宋体" w:cs="宋体"/>
          <w:sz w:val="24"/>
          <w:szCs w:val="24"/>
          <w:lang w:val="en-US" w:eastAsia="zh-CN"/>
        </w:rPr>
        <w:t>按照合同约定的期限和内容完成相关工作，因乙方原因（人员、材料、工器具、机械资源不足）造成的进场进度、工程进度计划延误的，甲方有权对报价方进行考核，每延误一天考核500元/天，考核上限为合同金额的10%。对于不可抗拒的原因（天气、自然灾害等）导致总工期延误的，免除考核。</w:t>
      </w:r>
      <w:bookmarkEnd w:id="116"/>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乙方按照合同约定的工作内容高质量完成相关工作，因乙方原因（管理、人员、检测技术等）造成工程质量不符合质量要求的，甲方有权对乙方进行合同金额的10%的处罚，并责令乙方限期整改，并由此导致工期延误的，予以进度考核。</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乙方按照合同约定，加强项目的安全管理。因乙方原因（管理、施工等）造成项目安全管理不符合安全要求的，违反安全规定的，甲方有权对乙方进行考核,具体条款详见另行签订的《安全生产管理协议》考核内容。</w:t>
      </w:r>
    </w:p>
    <w:bookmarkEnd w:id="117"/>
    <w:bookmarkEnd w:id="118"/>
    <w:bookmarkEnd w:id="119"/>
    <w:p>
      <w:pPr>
        <w:pStyle w:val="2"/>
        <w:numPr>
          <w:ilvl w:val="1"/>
          <w:numId w:val="0"/>
        </w:numPr>
        <w:tabs>
          <w:tab w:val="left" w:pos="720"/>
          <w:tab w:val="left" w:pos="2432"/>
        </w:tabs>
        <w:bidi w:val="0"/>
        <w:outlineLvl w:val="0"/>
        <w:rPr>
          <w:rFonts w:hint="default"/>
          <w:lang w:val="en-US" w:eastAsia="zh-CN"/>
        </w:rPr>
      </w:pPr>
      <w:r>
        <w:rPr>
          <w:rFonts w:hint="eastAsia" w:ascii="宋体" w:hAnsi="宋体" w:eastAsia="宋体" w:cs="宋体"/>
          <w:sz w:val="24"/>
          <w:szCs w:val="24"/>
          <w:lang w:val="en-US" w:eastAsia="zh-CN"/>
        </w:rPr>
        <w:t xml:space="preserve"> </w:t>
      </w:r>
      <w:bookmarkStart w:id="120" w:name="_Toc7010"/>
      <w:bookmarkStart w:id="121" w:name="_Toc22033"/>
      <w:r>
        <w:rPr>
          <w:rFonts w:hint="eastAsia"/>
          <w:lang w:val="en-US" w:eastAsia="zh-CN"/>
        </w:rPr>
        <w:t>附</w:t>
      </w:r>
      <w:bookmarkEnd w:id="120"/>
      <w:bookmarkEnd w:id="121"/>
      <w:r>
        <w:rPr>
          <w:rFonts w:hint="eastAsia"/>
          <w:lang w:val="en-US" w:eastAsia="zh-CN"/>
        </w:rPr>
        <w:t>表：</w:t>
      </w:r>
    </w:p>
    <w:p>
      <w:pPr>
        <w:pStyle w:val="15"/>
        <w:spacing w:line="360" w:lineRule="auto"/>
        <w:ind w:firstLine="0"/>
        <w:jc w:val="center"/>
        <w:rPr>
          <w:rFonts w:hint="eastAsia" w:hAnsi="宋体" w:cs="宋体"/>
          <w:b/>
          <w:bCs/>
          <w:sz w:val="24"/>
          <w:szCs w:val="24"/>
          <w:lang w:val="en-US" w:eastAsia="zh-CN"/>
        </w:rPr>
      </w:pPr>
      <w:r>
        <w:rPr>
          <w:rFonts w:hint="eastAsia" w:hAnsi="宋体" w:cs="宋体"/>
          <w:b/>
          <w:bCs/>
          <w:sz w:val="24"/>
          <w:szCs w:val="24"/>
          <w:lang w:val="en-US" w:eastAsia="zh-CN"/>
        </w:rPr>
        <w:t>2025年度龙下风电场构筑物防雷装置安全检测主要检测内容</w:t>
      </w:r>
    </w:p>
    <w:p>
      <w:pPr>
        <w:pStyle w:val="4"/>
        <w:bidi w:val="0"/>
        <w:ind w:firstLine="482" w:firstLineChars="200"/>
        <w:outlineLvl w:val="0"/>
        <w:rPr>
          <w:rFonts w:hint="eastAsia" w:ascii="宋体" w:hAnsi="宋体" w:eastAsia="宋体" w:cs="宋体"/>
          <w:b/>
          <w:bCs/>
          <w:sz w:val="24"/>
          <w:szCs w:val="24"/>
        </w:rPr>
      </w:pPr>
      <w:bookmarkStart w:id="122" w:name="_Toc7933"/>
      <w:bookmarkStart w:id="123" w:name="_Toc3259"/>
      <w:r>
        <w:rPr>
          <w:rFonts w:hint="eastAsia" w:ascii="宋体" w:hAnsi="宋体" w:eastAsia="宋体" w:cs="宋体"/>
          <w:b/>
          <w:bCs/>
          <w:sz w:val="24"/>
          <w:szCs w:val="24"/>
        </w:rPr>
        <w:t>1、建筑物、设备防雷装置检测</w:t>
      </w:r>
      <w:r>
        <w:rPr>
          <w:rFonts w:hint="eastAsia" w:ascii="宋体" w:hAnsi="宋体" w:cs="宋体"/>
          <w:b/>
          <w:bCs/>
          <w:sz w:val="24"/>
          <w:szCs w:val="24"/>
          <w:lang w:eastAsia="zh-CN"/>
        </w:rPr>
        <w:t>（</w:t>
      </w:r>
      <w:r>
        <w:rPr>
          <w:rFonts w:hint="eastAsia" w:hAnsi="宋体"/>
          <w:b/>
          <w:bCs/>
          <w:sz w:val="24"/>
          <w:szCs w:val="24"/>
          <w:highlight w:val="none"/>
        </w:rPr>
        <w:t>陆上集控</w:t>
      </w:r>
      <w:r>
        <w:rPr>
          <w:rFonts w:hint="eastAsia"/>
          <w:b/>
          <w:bCs/>
          <w:sz w:val="24"/>
          <w:szCs w:val="24"/>
          <w:highlight w:val="none"/>
          <w:lang w:val="en-US" w:eastAsia="zh-CN"/>
        </w:rPr>
        <w:t>站</w:t>
      </w:r>
      <w:r>
        <w:rPr>
          <w:rFonts w:hint="eastAsia" w:ascii="宋体" w:hAnsi="宋体" w:cs="宋体"/>
          <w:b/>
          <w:bCs/>
          <w:sz w:val="24"/>
          <w:szCs w:val="24"/>
          <w:lang w:eastAsia="zh-CN"/>
        </w:rPr>
        <w:t>）</w:t>
      </w:r>
      <w:bookmarkEnd w:id="122"/>
      <w:bookmarkEnd w:id="123"/>
    </w:p>
    <w:tbl>
      <w:tblPr>
        <w:tblStyle w:val="31"/>
        <w:tblW w:w="83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954"/>
        <w:gridCol w:w="1936"/>
        <w:gridCol w:w="4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建构筑物</w:t>
            </w:r>
          </w:p>
        </w:tc>
        <w:tc>
          <w:tcPr>
            <w:tcW w:w="72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val="0"/>
                <w:bCs w:val="0"/>
                <w:sz w:val="21"/>
                <w:szCs w:val="21"/>
              </w:rPr>
              <w:t>综合楼</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门卫</w:t>
            </w:r>
            <w:r>
              <w:rPr>
                <w:rFonts w:hint="eastAsia" w:ascii="宋体" w:hAnsi="宋体" w:cs="宋体"/>
                <w:b w:val="0"/>
                <w:bCs w:val="0"/>
                <w:sz w:val="21"/>
                <w:szCs w:val="21"/>
                <w:lang w:val="en-US" w:eastAsia="zh-CN"/>
              </w:rPr>
              <w:t>室、光伏棚及屋面光伏</w:t>
            </w:r>
            <w:r>
              <w:rPr>
                <w:rFonts w:hint="eastAsia" w:ascii="宋体" w:hAnsi="宋体" w:eastAsia="宋体" w:cs="宋体"/>
                <w:b w:val="0"/>
                <w:bCs w:val="0"/>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289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检测项目</w:t>
            </w:r>
          </w:p>
        </w:tc>
        <w:tc>
          <w:tcPr>
            <w:tcW w:w="434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检测内容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1</w:t>
            </w:r>
          </w:p>
        </w:tc>
        <w:tc>
          <w:tcPr>
            <w:tcW w:w="95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接闪器</w:t>
            </w:r>
          </w:p>
        </w:tc>
        <w:tc>
          <w:tcPr>
            <w:tcW w:w="193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接闪带</w:t>
            </w:r>
          </w:p>
        </w:tc>
        <w:tc>
          <w:tcPr>
            <w:tcW w:w="434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材料规格、</w:t>
            </w:r>
            <w:r>
              <w:rPr>
                <w:rFonts w:hint="eastAsia" w:ascii="宋体" w:hAnsi="宋体" w:cs="宋体"/>
                <w:sz w:val="21"/>
                <w:szCs w:val="21"/>
                <w:lang w:eastAsia="zh-CN"/>
              </w:rPr>
              <w:t>联结</w:t>
            </w:r>
            <w:r>
              <w:rPr>
                <w:rFonts w:hint="eastAsia" w:ascii="宋体" w:hAnsi="宋体" w:eastAsia="宋体" w:cs="宋体"/>
                <w:sz w:val="21"/>
                <w:szCs w:val="21"/>
              </w:rPr>
              <w:t>方式、防腐措施、锈蚀情况、闭合情况、外檐保护情况、工频接地电阻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2</w:t>
            </w:r>
          </w:p>
        </w:tc>
        <w:tc>
          <w:tcPr>
            <w:tcW w:w="95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rPr>
            </w:pPr>
          </w:p>
        </w:tc>
        <w:tc>
          <w:tcPr>
            <w:tcW w:w="193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突出屋面金属构件</w:t>
            </w:r>
          </w:p>
        </w:tc>
        <w:tc>
          <w:tcPr>
            <w:tcW w:w="434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rPr>
            </w:pPr>
            <w:r>
              <w:rPr>
                <w:rFonts w:hint="eastAsia" w:ascii="宋体" w:hAnsi="宋体" w:cs="宋体"/>
                <w:sz w:val="21"/>
                <w:szCs w:val="21"/>
                <w:lang w:eastAsia="zh-CN"/>
              </w:rPr>
              <w:t>联结</w:t>
            </w:r>
            <w:r>
              <w:rPr>
                <w:rFonts w:hint="eastAsia" w:ascii="宋体" w:hAnsi="宋体" w:eastAsia="宋体" w:cs="宋体"/>
                <w:sz w:val="21"/>
                <w:szCs w:val="21"/>
              </w:rPr>
              <w:t>方式、防腐措施、工频接地电阻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3</w:t>
            </w:r>
          </w:p>
        </w:tc>
        <w:tc>
          <w:tcPr>
            <w:tcW w:w="289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引下线</w:t>
            </w:r>
          </w:p>
        </w:tc>
        <w:tc>
          <w:tcPr>
            <w:tcW w:w="434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敷设方式、与接闪带</w:t>
            </w:r>
            <w:r>
              <w:rPr>
                <w:rFonts w:hint="eastAsia" w:ascii="宋体" w:hAnsi="宋体" w:cs="宋体"/>
                <w:sz w:val="21"/>
                <w:szCs w:val="21"/>
                <w:lang w:eastAsia="zh-CN"/>
              </w:rPr>
              <w:t>联结</w:t>
            </w:r>
            <w:r>
              <w:rPr>
                <w:rFonts w:hint="eastAsia" w:ascii="宋体" w:hAnsi="宋体" w:eastAsia="宋体" w:cs="宋体"/>
                <w:sz w:val="21"/>
                <w:szCs w:val="21"/>
              </w:rPr>
              <w:t>情况、平均间距、工频接地电阻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4</w:t>
            </w:r>
          </w:p>
        </w:tc>
        <w:tc>
          <w:tcPr>
            <w:tcW w:w="289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接地装置</w:t>
            </w:r>
          </w:p>
        </w:tc>
        <w:tc>
          <w:tcPr>
            <w:tcW w:w="434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工频接地电阻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5</w:t>
            </w:r>
          </w:p>
        </w:tc>
        <w:tc>
          <w:tcPr>
            <w:tcW w:w="289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设备</w:t>
            </w:r>
            <w:r>
              <w:rPr>
                <w:rFonts w:hint="eastAsia" w:ascii="宋体" w:hAnsi="宋体" w:eastAsia="宋体" w:cs="宋体"/>
                <w:sz w:val="21"/>
                <w:szCs w:val="21"/>
              </w:rPr>
              <w:t>预留电气接地</w:t>
            </w:r>
          </w:p>
        </w:tc>
        <w:tc>
          <w:tcPr>
            <w:tcW w:w="434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材料规格、工频接地电阻</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outlineLvl w:val="0"/>
        <w:rPr>
          <w:rFonts w:hint="eastAsia" w:ascii="宋体" w:hAnsi="宋体" w:eastAsia="宋体" w:cs="宋体"/>
          <w:b/>
          <w:bCs/>
          <w:sz w:val="24"/>
          <w:szCs w:val="24"/>
          <w:highlight w:val="none"/>
        </w:rPr>
      </w:pPr>
      <w:bookmarkStart w:id="124" w:name="_Toc6806"/>
      <w:bookmarkStart w:id="125" w:name="_Toc17757"/>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场区</w:t>
      </w:r>
      <w:r>
        <w:rPr>
          <w:rFonts w:hint="eastAsia" w:ascii="宋体" w:hAnsi="宋体" w:eastAsia="宋体" w:cs="宋体"/>
          <w:b/>
          <w:bCs/>
          <w:sz w:val="24"/>
          <w:szCs w:val="24"/>
          <w:highlight w:val="none"/>
        </w:rPr>
        <w:t>建筑物、设备防雷装置检测</w:t>
      </w:r>
      <w:r>
        <w:rPr>
          <w:rFonts w:hint="eastAsia" w:ascii="宋体" w:hAnsi="宋体" w:cs="宋体"/>
          <w:b/>
          <w:bCs/>
          <w:sz w:val="24"/>
          <w:szCs w:val="24"/>
          <w:highlight w:val="none"/>
          <w:lang w:eastAsia="zh-CN"/>
        </w:rPr>
        <w:t>（</w:t>
      </w:r>
      <w:r>
        <w:rPr>
          <w:rFonts w:hint="eastAsia" w:ascii="宋体" w:hAnsi="宋体" w:cs="宋体"/>
          <w:b/>
          <w:bCs/>
          <w:sz w:val="24"/>
          <w:szCs w:val="24"/>
          <w:highlight w:val="none"/>
        </w:rPr>
        <w:t>陆上集控</w:t>
      </w:r>
      <w:r>
        <w:rPr>
          <w:rFonts w:hint="eastAsia" w:ascii="宋体" w:hAnsi="宋体" w:cs="宋体"/>
          <w:b/>
          <w:bCs/>
          <w:sz w:val="24"/>
          <w:szCs w:val="24"/>
          <w:highlight w:val="none"/>
          <w:lang w:val="en-US" w:eastAsia="zh-CN"/>
        </w:rPr>
        <w:t>站</w:t>
      </w:r>
      <w:r>
        <w:rPr>
          <w:rFonts w:hint="eastAsia" w:ascii="宋体" w:hAnsi="宋体" w:cs="宋体"/>
          <w:b/>
          <w:bCs/>
          <w:sz w:val="24"/>
          <w:szCs w:val="24"/>
          <w:highlight w:val="none"/>
          <w:lang w:eastAsia="zh-CN"/>
        </w:rPr>
        <w:t>）</w:t>
      </w:r>
      <w:bookmarkEnd w:id="124"/>
      <w:bookmarkEnd w:id="125"/>
    </w:p>
    <w:tbl>
      <w:tblPr>
        <w:tblStyle w:val="31"/>
        <w:tblW w:w="83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922"/>
        <w:gridCol w:w="1968"/>
        <w:gridCol w:w="4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建构筑物</w:t>
            </w:r>
          </w:p>
        </w:tc>
        <w:tc>
          <w:tcPr>
            <w:tcW w:w="724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val="0"/>
                <w:bCs w:val="0"/>
                <w:sz w:val="21"/>
                <w:szCs w:val="21"/>
                <w:lang w:val="en-US" w:eastAsia="zh-CN"/>
              </w:rPr>
              <w:t>主变、</w:t>
            </w:r>
            <w:r>
              <w:rPr>
                <w:rFonts w:hint="eastAsia" w:ascii="宋体" w:hAnsi="宋体" w:eastAsia="宋体" w:cs="宋体"/>
                <w:b w:val="0"/>
                <w:bCs w:val="0"/>
                <w:sz w:val="21"/>
                <w:szCs w:val="21"/>
              </w:rPr>
              <w:t>GIS</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SVG、继保室、高压开关室</w:t>
            </w:r>
            <w:r>
              <w:rPr>
                <w:rFonts w:hint="eastAsia" w:ascii="宋体" w:hAnsi="宋体" w:eastAsia="宋体" w:cs="宋体"/>
                <w:b w:val="0"/>
                <w:bCs w:val="0"/>
                <w:sz w:val="21"/>
                <w:szCs w:val="21"/>
              </w:rPr>
              <w:t>等，以及接闪杆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289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检测项目</w:t>
            </w:r>
          </w:p>
        </w:tc>
        <w:tc>
          <w:tcPr>
            <w:tcW w:w="435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检测内容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0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1</w:t>
            </w:r>
          </w:p>
        </w:tc>
        <w:tc>
          <w:tcPr>
            <w:tcW w:w="92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接闪器</w:t>
            </w:r>
          </w:p>
        </w:tc>
        <w:tc>
          <w:tcPr>
            <w:tcW w:w="19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接闪带</w:t>
            </w:r>
          </w:p>
        </w:tc>
        <w:tc>
          <w:tcPr>
            <w:tcW w:w="435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材料规格、</w:t>
            </w:r>
            <w:r>
              <w:rPr>
                <w:rFonts w:hint="eastAsia" w:ascii="宋体" w:hAnsi="宋体" w:cs="宋体"/>
                <w:sz w:val="21"/>
                <w:szCs w:val="21"/>
                <w:lang w:val="en-US" w:eastAsia="zh-CN"/>
              </w:rPr>
              <w:t>联结</w:t>
            </w:r>
            <w:r>
              <w:rPr>
                <w:rFonts w:hint="eastAsia" w:ascii="宋体" w:hAnsi="宋体" w:eastAsia="宋体" w:cs="宋体"/>
                <w:sz w:val="21"/>
                <w:szCs w:val="21"/>
                <w:lang w:val="en-US" w:eastAsia="zh-CN"/>
              </w:rPr>
              <w:t>方式、防腐措施、锈蚀情况、闭合情况、外檐保护情况、工频接地电阻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0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2</w:t>
            </w:r>
          </w:p>
        </w:tc>
        <w:tc>
          <w:tcPr>
            <w:tcW w:w="9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p>
        </w:tc>
        <w:tc>
          <w:tcPr>
            <w:tcW w:w="19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突出屋面金属构件</w:t>
            </w:r>
          </w:p>
        </w:tc>
        <w:tc>
          <w:tcPr>
            <w:tcW w:w="435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联结</w:t>
            </w:r>
            <w:r>
              <w:rPr>
                <w:rFonts w:hint="eastAsia" w:ascii="宋体" w:hAnsi="宋体" w:eastAsia="宋体" w:cs="宋体"/>
                <w:sz w:val="21"/>
                <w:szCs w:val="21"/>
                <w:lang w:val="en-US" w:eastAsia="zh-CN"/>
              </w:rPr>
              <w:t>方式、防腐措施、工频接地电阻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3</w:t>
            </w:r>
          </w:p>
        </w:tc>
        <w:tc>
          <w:tcPr>
            <w:tcW w:w="289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引下线</w:t>
            </w:r>
          </w:p>
        </w:tc>
        <w:tc>
          <w:tcPr>
            <w:tcW w:w="435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敷设方式、与接闪带</w:t>
            </w:r>
            <w:r>
              <w:rPr>
                <w:rFonts w:hint="eastAsia" w:ascii="宋体" w:hAnsi="宋体" w:cs="宋体"/>
                <w:sz w:val="21"/>
                <w:szCs w:val="21"/>
                <w:lang w:val="en-US" w:eastAsia="zh-CN"/>
              </w:rPr>
              <w:t>联结</w:t>
            </w:r>
            <w:r>
              <w:rPr>
                <w:rFonts w:hint="eastAsia" w:ascii="宋体" w:hAnsi="宋体" w:eastAsia="宋体" w:cs="宋体"/>
                <w:sz w:val="21"/>
                <w:szCs w:val="21"/>
                <w:lang w:val="en-US" w:eastAsia="zh-CN"/>
              </w:rPr>
              <w:t>情况、平均间距、工频接地电阻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4</w:t>
            </w:r>
          </w:p>
        </w:tc>
        <w:tc>
          <w:tcPr>
            <w:tcW w:w="289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接地装置</w:t>
            </w:r>
          </w:p>
        </w:tc>
        <w:tc>
          <w:tcPr>
            <w:tcW w:w="435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工频接地电阻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5</w:t>
            </w:r>
          </w:p>
        </w:tc>
        <w:tc>
          <w:tcPr>
            <w:tcW w:w="289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设备预留电气接地</w:t>
            </w:r>
          </w:p>
        </w:tc>
        <w:tc>
          <w:tcPr>
            <w:tcW w:w="435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材料规格、工频接地电阻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6</w:t>
            </w:r>
          </w:p>
        </w:tc>
        <w:tc>
          <w:tcPr>
            <w:tcW w:w="289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接闪杆</w:t>
            </w:r>
          </w:p>
        </w:tc>
        <w:tc>
          <w:tcPr>
            <w:tcW w:w="435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材料规格、</w:t>
            </w:r>
            <w:r>
              <w:rPr>
                <w:rFonts w:hint="eastAsia" w:ascii="宋体" w:hAnsi="宋体" w:cs="宋体"/>
                <w:sz w:val="21"/>
                <w:szCs w:val="21"/>
                <w:lang w:val="en-US" w:eastAsia="zh-CN"/>
              </w:rPr>
              <w:t>联结</w:t>
            </w:r>
            <w:r>
              <w:rPr>
                <w:rFonts w:hint="eastAsia" w:ascii="宋体" w:hAnsi="宋体" w:eastAsia="宋体" w:cs="宋体"/>
                <w:sz w:val="21"/>
                <w:szCs w:val="21"/>
                <w:lang w:val="en-US" w:eastAsia="zh-CN"/>
              </w:rPr>
              <w:t>方式、防腐措施、锈蚀情况、工频接地电阻</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outlineLvl w:val="0"/>
        <w:rPr>
          <w:rFonts w:hint="eastAsia" w:ascii="宋体" w:hAnsi="宋体" w:eastAsia="宋体" w:cs="宋体"/>
          <w:b/>
          <w:bCs/>
          <w:sz w:val="24"/>
          <w:szCs w:val="24"/>
          <w:highlight w:val="none"/>
        </w:rPr>
      </w:pPr>
      <w:bookmarkStart w:id="126" w:name="_Toc7555"/>
      <w:bookmarkStart w:id="127" w:name="_Toc15367"/>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、大型接地装置特性参数检测</w:t>
      </w:r>
      <w:r>
        <w:rPr>
          <w:rFonts w:hint="eastAsia" w:ascii="宋体" w:hAnsi="宋体" w:cs="宋体"/>
          <w:b/>
          <w:bCs/>
          <w:sz w:val="24"/>
          <w:szCs w:val="24"/>
          <w:highlight w:val="none"/>
          <w:lang w:eastAsia="zh-CN"/>
        </w:rPr>
        <w:t>（</w:t>
      </w:r>
      <w:r>
        <w:rPr>
          <w:rFonts w:hint="eastAsia" w:ascii="宋体" w:hAnsi="宋体" w:cs="宋体"/>
          <w:b/>
          <w:bCs/>
          <w:sz w:val="24"/>
          <w:szCs w:val="24"/>
          <w:highlight w:val="none"/>
        </w:rPr>
        <w:t>陆上集控</w:t>
      </w:r>
      <w:r>
        <w:rPr>
          <w:rFonts w:hint="eastAsia" w:ascii="宋体" w:hAnsi="宋体" w:cs="宋体"/>
          <w:b/>
          <w:bCs/>
          <w:sz w:val="24"/>
          <w:szCs w:val="24"/>
          <w:highlight w:val="none"/>
          <w:lang w:val="en-US" w:eastAsia="zh-CN"/>
        </w:rPr>
        <w:t>站</w:t>
      </w:r>
      <w:r>
        <w:rPr>
          <w:rFonts w:hint="eastAsia" w:ascii="宋体" w:hAnsi="宋体" w:cs="宋体"/>
          <w:b/>
          <w:bCs/>
          <w:sz w:val="24"/>
          <w:szCs w:val="24"/>
          <w:highlight w:val="none"/>
          <w:lang w:eastAsia="zh-CN"/>
        </w:rPr>
        <w:t>）</w:t>
      </w:r>
      <w:bookmarkEnd w:id="126"/>
      <w:bookmarkEnd w:id="127"/>
    </w:p>
    <w:tbl>
      <w:tblPr>
        <w:tblStyle w:val="31"/>
        <w:tblW w:w="83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7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b/>
                <w:bCs/>
                <w:sz w:val="21"/>
                <w:szCs w:val="21"/>
              </w:rPr>
              <w:t>检测内容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1</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接地阻抗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2</w:t>
            </w:r>
          </w:p>
        </w:tc>
        <w:tc>
          <w:tcPr>
            <w:tcW w:w="7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电气导通（主要设备及各设备室）</w:t>
            </w:r>
          </w:p>
        </w:tc>
      </w:tr>
    </w:tbl>
    <w:p>
      <w:pPr>
        <w:spacing w:line="360" w:lineRule="auto"/>
        <w:rPr>
          <w:rFonts w:hint="eastAsia" w:ascii="宋体" w:hAnsi="宋体" w:cs="宋体"/>
          <w:b/>
          <w:bCs/>
          <w:sz w:val="24"/>
          <w:szCs w:val="24"/>
          <w:lang w:val="en-US" w:eastAsia="zh-CN"/>
        </w:rPr>
      </w:pPr>
    </w:p>
    <w:p>
      <w:pPr>
        <w:spacing w:line="360" w:lineRule="auto"/>
        <w:ind w:firstLine="482" w:firstLineChars="200"/>
        <w:outlineLvl w:val="0"/>
        <w:rPr>
          <w:rFonts w:hint="eastAsia" w:ascii="宋体" w:hAnsi="宋体" w:eastAsia="宋体" w:cs="宋体"/>
          <w:b/>
          <w:bCs/>
          <w:sz w:val="24"/>
          <w:szCs w:val="24"/>
        </w:rPr>
      </w:pPr>
      <w:bookmarkStart w:id="128" w:name="_Toc1842"/>
      <w:bookmarkStart w:id="129" w:name="_Toc25754"/>
      <w:r>
        <w:rPr>
          <w:rFonts w:hint="eastAsia" w:ascii="宋体" w:hAnsi="宋体" w:cs="宋体"/>
          <w:b/>
          <w:bCs/>
          <w:sz w:val="24"/>
          <w:szCs w:val="24"/>
          <w:lang w:val="en-US" w:eastAsia="zh-CN"/>
        </w:rPr>
        <w:t>4</w:t>
      </w:r>
      <w:r>
        <w:rPr>
          <w:rFonts w:hint="eastAsia" w:ascii="宋体" w:hAnsi="宋体" w:eastAsia="宋体" w:cs="宋体"/>
          <w:b/>
          <w:bCs/>
          <w:sz w:val="24"/>
          <w:szCs w:val="24"/>
        </w:rPr>
        <w:t>、建筑物、设备防雷装置检测</w:t>
      </w:r>
      <w:r>
        <w:rPr>
          <w:rFonts w:hint="eastAsia" w:ascii="宋体" w:hAnsi="宋体" w:cs="宋体"/>
          <w:b/>
          <w:bCs/>
          <w:sz w:val="24"/>
          <w:szCs w:val="24"/>
          <w:lang w:eastAsia="zh-CN"/>
        </w:rPr>
        <w:t>（</w:t>
      </w:r>
      <w:r>
        <w:rPr>
          <w:rFonts w:hint="eastAsia" w:ascii="宋体" w:hAnsi="宋体" w:cs="宋体"/>
          <w:b/>
          <w:bCs/>
          <w:sz w:val="24"/>
          <w:szCs w:val="24"/>
          <w:highlight w:val="none"/>
          <w:lang w:eastAsia="zh-CN"/>
        </w:rPr>
        <w:t>东南大数据产业园</w:t>
      </w:r>
      <w:r>
        <w:rPr>
          <w:rFonts w:hint="eastAsia" w:ascii="宋体" w:hAnsi="宋体" w:cs="宋体"/>
          <w:b/>
          <w:bCs/>
          <w:sz w:val="24"/>
          <w:szCs w:val="24"/>
          <w:highlight w:val="none"/>
          <w:lang w:val="en-US" w:eastAsia="zh-CN"/>
        </w:rPr>
        <w:t>生产指挥大楼</w:t>
      </w:r>
      <w:r>
        <w:rPr>
          <w:rFonts w:hint="eastAsia" w:ascii="宋体" w:hAnsi="宋体" w:cs="宋体"/>
          <w:b/>
          <w:bCs/>
          <w:sz w:val="24"/>
          <w:szCs w:val="24"/>
          <w:lang w:eastAsia="zh-CN"/>
        </w:rPr>
        <w:t>）</w:t>
      </w:r>
      <w:bookmarkEnd w:id="128"/>
      <w:bookmarkEnd w:id="129"/>
    </w:p>
    <w:tbl>
      <w:tblPr>
        <w:tblStyle w:val="31"/>
        <w:tblW w:w="83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945"/>
        <w:gridCol w:w="1937"/>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建构筑物</w:t>
            </w:r>
          </w:p>
        </w:tc>
        <w:tc>
          <w:tcPr>
            <w:tcW w:w="7232"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三期8#楼及其信息机房等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288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检测项目</w:t>
            </w:r>
          </w:p>
        </w:tc>
        <w:tc>
          <w:tcPr>
            <w:tcW w:w="43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检测内容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0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1</w:t>
            </w:r>
          </w:p>
        </w:tc>
        <w:tc>
          <w:tcPr>
            <w:tcW w:w="94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接闪器</w:t>
            </w:r>
          </w:p>
        </w:tc>
        <w:tc>
          <w:tcPr>
            <w:tcW w:w="193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接闪带</w:t>
            </w:r>
          </w:p>
        </w:tc>
        <w:tc>
          <w:tcPr>
            <w:tcW w:w="43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材料规格、</w:t>
            </w:r>
            <w:r>
              <w:rPr>
                <w:rFonts w:hint="eastAsia" w:ascii="宋体" w:hAnsi="宋体" w:cs="宋体"/>
                <w:sz w:val="21"/>
                <w:szCs w:val="21"/>
                <w:lang w:val="en-US" w:eastAsia="zh-CN"/>
              </w:rPr>
              <w:t>联结</w:t>
            </w:r>
            <w:r>
              <w:rPr>
                <w:rFonts w:hint="eastAsia" w:ascii="宋体" w:hAnsi="宋体" w:eastAsia="宋体" w:cs="宋体"/>
                <w:sz w:val="21"/>
                <w:szCs w:val="21"/>
                <w:lang w:val="en-US" w:eastAsia="zh-CN"/>
              </w:rPr>
              <w:t>方式、防腐措施、锈蚀情况、闭合情况、外檐保护情况、工频接地电阻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0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2</w:t>
            </w:r>
          </w:p>
        </w:tc>
        <w:tc>
          <w:tcPr>
            <w:tcW w:w="94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p>
        </w:tc>
        <w:tc>
          <w:tcPr>
            <w:tcW w:w="193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突出屋面金属构件</w:t>
            </w:r>
          </w:p>
        </w:tc>
        <w:tc>
          <w:tcPr>
            <w:tcW w:w="43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联结</w:t>
            </w:r>
            <w:r>
              <w:rPr>
                <w:rFonts w:hint="eastAsia" w:ascii="宋体" w:hAnsi="宋体" w:eastAsia="宋体" w:cs="宋体"/>
                <w:sz w:val="21"/>
                <w:szCs w:val="21"/>
                <w:lang w:val="en-US" w:eastAsia="zh-CN"/>
              </w:rPr>
              <w:t>方式、防腐措施、工频接地电阻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3</w:t>
            </w:r>
          </w:p>
        </w:tc>
        <w:tc>
          <w:tcPr>
            <w:tcW w:w="288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引下线</w:t>
            </w:r>
          </w:p>
        </w:tc>
        <w:tc>
          <w:tcPr>
            <w:tcW w:w="43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敷设方式、与接闪带</w:t>
            </w:r>
            <w:r>
              <w:rPr>
                <w:rFonts w:hint="eastAsia" w:ascii="宋体" w:hAnsi="宋体" w:cs="宋体"/>
                <w:sz w:val="21"/>
                <w:szCs w:val="21"/>
                <w:lang w:val="en-US" w:eastAsia="zh-CN"/>
              </w:rPr>
              <w:t>联结</w:t>
            </w:r>
            <w:r>
              <w:rPr>
                <w:rFonts w:hint="eastAsia" w:ascii="宋体" w:hAnsi="宋体" w:eastAsia="宋体" w:cs="宋体"/>
                <w:sz w:val="21"/>
                <w:szCs w:val="21"/>
                <w:lang w:val="en-US" w:eastAsia="zh-CN"/>
              </w:rPr>
              <w:t>情况、平均间距、工频接地电阻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4</w:t>
            </w:r>
          </w:p>
        </w:tc>
        <w:tc>
          <w:tcPr>
            <w:tcW w:w="288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接地装置</w:t>
            </w:r>
          </w:p>
        </w:tc>
        <w:tc>
          <w:tcPr>
            <w:tcW w:w="43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工频接地电阻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5</w:t>
            </w:r>
          </w:p>
        </w:tc>
        <w:tc>
          <w:tcPr>
            <w:tcW w:w="288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设备预留电气接地</w:t>
            </w:r>
          </w:p>
        </w:tc>
        <w:tc>
          <w:tcPr>
            <w:tcW w:w="43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材料规格、工频接地电阻</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outlineLvl w:val="0"/>
        <w:rPr>
          <w:rFonts w:hint="eastAsia" w:ascii="宋体" w:hAnsi="宋体" w:eastAsia="宋体" w:cs="宋体"/>
          <w:b/>
          <w:bCs/>
          <w:sz w:val="24"/>
          <w:szCs w:val="24"/>
          <w:highlight w:val="none"/>
        </w:rPr>
      </w:pPr>
      <w:bookmarkStart w:id="130" w:name="_Toc14938"/>
      <w:bookmarkStart w:id="131" w:name="_Toc14315"/>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rPr>
        <w:t>、建</w:t>
      </w:r>
      <w:r>
        <w:rPr>
          <w:rFonts w:hint="eastAsia" w:ascii="宋体" w:hAnsi="宋体" w:cs="宋体"/>
          <w:b/>
          <w:bCs/>
          <w:sz w:val="24"/>
          <w:szCs w:val="24"/>
          <w:highlight w:val="none"/>
          <w:lang w:val="en-US" w:eastAsia="zh-CN"/>
        </w:rPr>
        <w:t>构</w:t>
      </w:r>
      <w:r>
        <w:rPr>
          <w:rFonts w:hint="eastAsia" w:ascii="宋体" w:hAnsi="宋体" w:eastAsia="宋体" w:cs="宋体"/>
          <w:b/>
          <w:bCs/>
          <w:sz w:val="24"/>
          <w:szCs w:val="24"/>
          <w:highlight w:val="none"/>
        </w:rPr>
        <w:t>筑物、设备防雷装置检测</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海上升压站</w:t>
      </w:r>
      <w:r>
        <w:rPr>
          <w:rFonts w:hint="eastAsia" w:ascii="宋体" w:hAnsi="宋体" w:cs="宋体"/>
          <w:b/>
          <w:bCs/>
          <w:sz w:val="24"/>
          <w:szCs w:val="24"/>
          <w:highlight w:val="none"/>
          <w:lang w:eastAsia="zh-CN"/>
        </w:rPr>
        <w:t>）</w:t>
      </w:r>
      <w:bookmarkEnd w:id="130"/>
      <w:bookmarkEnd w:id="131"/>
    </w:p>
    <w:tbl>
      <w:tblPr>
        <w:tblStyle w:val="31"/>
        <w:tblW w:w="83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908"/>
        <w:gridCol w:w="1987"/>
        <w:gridCol w:w="4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建构筑物</w:t>
            </w:r>
          </w:p>
        </w:tc>
        <w:tc>
          <w:tcPr>
            <w:tcW w:w="72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rPr>
            </w:pPr>
            <w:r>
              <w:rPr>
                <w:rFonts w:hint="eastAsia" w:ascii="宋体" w:hAnsi="宋体" w:cs="宋体"/>
                <w:b w:val="0"/>
                <w:bCs w:val="0"/>
                <w:sz w:val="24"/>
                <w:szCs w:val="24"/>
                <w:highlight w:val="none"/>
                <w:lang w:val="en-US" w:eastAsia="zh-CN"/>
              </w:rPr>
              <w:t>海上升压站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289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检测项目</w:t>
            </w:r>
          </w:p>
        </w:tc>
        <w:tc>
          <w:tcPr>
            <w:tcW w:w="434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检测内容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1</w:t>
            </w:r>
          </w:p>
        </w:tc>
        <w:tc>
          <w:tcPr>
            <w:tcW w:w="90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接闪器</w:t>
            </w:r>
          </w:p>
        </w:tc>
        <w:tc>
          <w:tcPr>
            <w:tcW w:w="198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接闪带</w:t>
            </w:r>
          </w:p>
        </w:tc>
        <w:tc>
          <w:tcPr>
            <w:tcW w:w="434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材料规格、</w:t>
            </w:r>
            <w:r>
              <w:rPr>
                <w:rFonts w:hint="eastAsia" w:ascii="宋体" w:hAnsi="宋体" w:cs="宋体"/>
                <w:sz w:val="21"/>
                <w:szCs w:val="21"/>
                <w:lang w:val="en-US" w:eastAsia="zh-CN"/>
              </w:rPr>
              <w:t>联结</w:t>
            </w:r>
            <w:r>
              <w:rPr>
                <w:rFonts w:hint="eastAsia" w:ascii="宋体" w:hAnsi="宋体" w:eastAsia="宋体" w:cs="宋体"/>
                <w:sz w:val="21"/>
                <w:szCs w:val="21"/>
                <w:lang w:val="en-US" w:eastAsia="zh-CN"/>
              </w:rPr>
              <w:t>方式、防腐措施、锈蚀情况、闭合情况、外檐保护情况、工频接地电阻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2</w:t>
            </w:r>
          </w:p>
        </w:tc>
        <w:tc>
          <w:tcPr>
            <w:tcW w:w="90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p>
        </w:tc>
        <w:tc>
          <w:tcPr>
            <w:tcW w:w="198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突出屋面金属构件</w:t>
            </w:r>
          </w:p>
        </w:tc>
        <w:tc>
          <w:tcPr>
            <w:tcW w:w="434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联结</w:t>
            </w:r>
            <w:r>
              <w:rPr>
                <w:rFonts w:hint="eastAsia" w:ascii="宋体" w:hAnsi="宋体" w:eastAsia="宋体" w:cs="宋体"/>
                <w:sz w:val="21"/>
                <w:szCs w:val="21"/>
                <w:lang w:val="en-US" w:eastAsia="zh-CN"/>
              </w:rPr>
              <w:t>方式、防腐措施、工频接地电阻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3</w:t>
            </w:r>
          </w:p>
        </w:tc>
        <w:tc>
          <w:tcPr>
            <w:tcW w:w="289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引下线</w:t>
            </w:r>
          </w:p>
        </w:tc>
        <w:tc>
          <w:tcPr>
            <w:tcW w:w="434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敷设方式、与接闪带</w:t>
            </w:r>
            <w:r>
              <w:rPr>
                <w:rFonts w:hint="eastAsia" w:ascii="宋体" w:hAnsi="宋体" w:cs="宋体"/>
                <w:sz w:val="21"/>
                <w:szCs w:val="21"/>
                <w:lang w:val="en-US" w:eastAsia="zh-CN"/>
              </w:rPr>
              <w:t>联结</w:t>
            </w:r>
            <w:r>
              <w:rPr>
                <w:rFonts w:hint="eastAsia" w:ascii="宋体" w:hAnsi="宋体" w:eastAsia="宋体" w:cs="宋体"/>
                <w:sz w:val="21"/>
                <w:szCs w:val="21"/>
                <w:lang w:val="en-US" w:eastAsia="zh-CN"/>
              </w:rPr>
              <w:t>情况、平均间距、工频接地电阻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4</w:t>
            </w:r>
          </w:p>
        </w:tc>
        <w:tc>
          <w:tcPr>
            <w:tcW w:w="289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接地装置</w:t>
            </w:r>
          </w:p>
        </w:tc>
        <w:tc>
          <w:tcPr>
            <w:tcW w:w="434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工频接地电阻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5</w:t>
            </w:r>
          </w:p>
        </w:tc>
        <w:tc>
          <w:tcPr>
            <w:tcW w:w="289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设备预留电气接地</w:t>
            </w:r>
          </w:p>
        </w:tc>
        <w:tc>
          <w:tcPr>
            <w:tcW w:w="434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材料规格、工频接地电阻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6</w:t>
            </w:r>
          </w:p>
        </w:tc>
        <w:tc>
          <w:tcPr>
            <w:tcW w:w="289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接闪杆</w:t>
            </w:r>
          </w:p>
        </w:tc>
        <w:tc>
          <w:tcPr>
            <w:tcW w:w="434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材料规格、</w:t>
            </w:r>
            <w:r>
              <w:rPr>
                <w:rFonts w:hint="eastAsia" w:ascii="宋体" w:hAnsi="宋体" w:cs="宋体"/>
                <w:sz w:val="21"/>
                <w:szCs w:val="21"/>
                <w:lang w:val="en-US" w:eastAsia="zh-CN"/>
              </w:rPr>
              <w:t>联结</w:t>
            </w:r>
            <w:r>
              <w:rPr>
                <w:rFonts w:hint="eastAsia" w:ascii="宋体" w:hAnsi="宋体" w:eastAsia="宋体" w:cs="宋体"/>
                <w:sz w:val="21"/>
                <w:szCs w:val="21"/>
                <w:lang w:val="en-US" w:eastAsia="zh-CN"/>
              </w:rPr>
              <w:t>方式、防腐措施、锈蚀情况、工频接地电阻</w:t>
            </w:r>
          </w:p>
        </w:tc>
      </w:tr>
      <w:bookmarkEnd w:id="62"/>
    </w:tbl>
    <w:p>
      <w:pPr>
        <w:spacing w:line="360" w:lineRule="auto"/>
        <w:ind w:firstLine="0" w:firstLineChars="0"/>
        <w:jc w:val="both"/>
        <w:rPr>
          <w:rFonts w:hint="eastAsia" w:ascii="宋体" w:hAnsi="宋体" w:eastAsia="宋体" w:cs="宋体"/>
          <w:b/>
          <w:bCs/>
          <w:spacing w:val="0"/>
          <w:sz w:val="28"/>
          <w:szCs w:val="28"/>
          <w:lang w:eastAsia="zh-CN"/>
        </w:rPr>
      </w:pPr>
    </w:p>
    <w:p>
      <w:pPr>
        <w:spacing w:line="360" w:lineRule="auto"/>
        <w:ind w:firstLine="0" w:firstLineChars="0"/>
        <w:jc w:val="both"/>
        <w:rPr>
          <w:rFonts w:hint="eastAsia" w:ascii="宋体" w:hAnsi="宋体" w:eastAsia="宋体" w:cs="宋体"/>
          <w:b/>
          <w:bCs/>
          <w:spacing w:val="0"/>
          <w:sz w:val="28"/>
          <w:szCs w:val="28"/>
          <w:lang w:val="en-US" w:eastAsia="zh-CN"/>
        </w:rPr>
      </w:pPr>
      <w:bookmarkStart w:id="132" w:name="OLE_LINK3"/>
      <w:r>
        <w:rPr>
          <w:rFonts w:hint="eastAsia" w:ascii="宋体" w:hAnsi="宋体" w:eastAsia="宋体" w:cs="宋体"/>
          <w:b/>
          <w:bCs/>
          <w:spacing w:val="0"/>
          <w:sz w:val="28"/>
          <w:szCs w:val="28"/>
          <w:lang w:eastAsia="zh-CN"/>
        </w:rPr>
        <w:t>附件</w:t>
      </w:r>
      <w:r>
        <w:rPr>
          <w:rFonts w:hint="eastAsia" w:ascii="宋体" w:hAnsi="宋体" w:cs="宋体"/>
          <w:b/>
          <w:bCs/>
          <w:spacing w:val="0"/>
          <w:sz w:val="28"/>
          <w:szCs w:val="28"/>
          <w:lang w:val="en-US" w:eastAsia="zh-CN"/>
        </w:rPr>
        <w:t>二</w:t>
      </w:r>
      <w:r>
        <w:rPr>
          <w:rFonts w:hint="eastAsia" w:ascii="宋体" w:hAnsi="宋体" w:eastAsia="宋体" w:cs="宋体"/>
          <w:b/>
          <w:bCs/>
          <w:spacing w:val="0"/>
          <w:sz w:val="28"/>
          <w:szCs w:val="28"/>
          <w:lang w:val="en-US" w:eastAsia="zh-CN"/>
        </w:rPr>
        <w:t>：</w:t>
      </w:r>
    </w:p>
    <w:bookmarkEnd w:id="132"/>
    <w:p>
      <w:pPr>
        <w:spacing w:line="360" w:lineRule="auto"/>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廉洁协议</w:t>
      </w:r>
    </w:p>
    <w:p>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甲方（委托人）：福建省福能海峡发电有限公司</w:t>
      </w:r>
    </w:p>
    <w:p>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乙方（受托人）：</w:t>
      </w:r>
      <w:r>
        <w:rPr>
          <w:rFonts w:hint="eastAsia" w:ascii="宋体" w:hAnsi="宋体" w:eastAsia="宋体" w:cs="宋体"/>
          <w:b w:val="0"/>
          <w:bCs w:val="0"/>
          <w:kern w:val="0"/>
          <w:sz w:val="24"/>
          <w:szCs w:val="24"/>
          <w:lang w:val="en-US" w:eastAsia="zh-CN"/>
        </w:rPr>
        <w:t xml:space="preserve">  </w:t>
      </w:r>
    </w:p>
    <w:p>
      <w:pPr>
        <w:spacing w:line="360" w:lineRule="auto"/>
        <w:ind w:right="420" w:rightChars="20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为了防范和控制</w:t>
      </w:r>
      <w:r>
        <w:rPr>
          <w:rFonts w:hint="eastAsia" w:ascii="宋体" w:hAnsi="宋体" w:cs="宋体"/>
          <w:kern w:val="0"/>
          <w:sz w:val="24"/>
          <w:szCs w:val="24"/>
          <w:lang w:eastAsia="zh-CN"/>
        </w:rPr>
        <w:t>2025年度龙下风电场构筑物防雷装置安全检测项目</w:t>
      </w:r>
      <w:r>
        <w:rPr>
          <w:rFonts w:hint="eastAsia" w:ascii="宋体" w:hAnsi="宋体" w:eastAsia="宋体" w:cs="宋体"/>
          <w:bCs/>
          <w:color w:val="auto"/>
          <w:sz w:val="24"/>
          <w:szCs w:val="24"/>
          <w:lang w:val="en-US" w:eastAsia="zh-CN"/>
        </w:rPr>
        <w:t>合同</w:t>
      </w:r>
      <w:r>
        <w:rPr>
          <w:rFonts w:hint="eastAsia" w:ascii="宋体" w:hAnsi="宋体" w:eastAsia="宋体" w:cs="宋体"/>
          <w:kern w:val="0"/>
          <w:sz w:val="24"/>
          <w:szCs w:val="24"/>
        </w:rPr>
        <w:t>（合同编号：</w:t>
      </w:r>
      <w:r>
        <w:rPr>
          <w:rFonts w:hint="eastAsia" w:ascii="宋体" w:hAnsi="宋体" w:eastAsia="宋体" w:cs="宋体"/>
          <w:kern w:val="0"/>
          <w:sz w:val="24"/>
          <w:szCs w:val="24"/>
          <w:lang w:val="en-US" w:eastAsia="zh-CN"/>
        </w:rPr>
        <w:t>FNHX-</w:t>
      </w:r>
      <w:r>
        <w:rPr>
          <w:rFonts w:hint="eastAsia" w:ascii="宋体" w:hAnsi="宋体" w:cs="宋体"/>
          <w:kern w:val="0"/>
          <w:sz w:val="24"/>
          <w:szCs w:val="24"/>
          <w:lang w:val="en-US" w:eastAsia="zh-CN"/>
        </w:rPr>
        <w:t>JF</w:t>
      </w:r>
      <w:r>
        <w:rPr>
          <w:rFonts w:hint="eastAsia" w:ascii="宋体" w:hAnsi="宋体" w:eastAsia="宋体" w:cs="宋体"/>
          <w:kern w:val="0"/>
          <w:sz w:val="24"/>
          <w:szCs w:val="24"/>
          <w:lang w:val="en-US" w:eastAsia="zh-CN"/>
        </w:rPr>
        <w:t>2025-</w:t>
      </w:r>
      <w:r>
        <w:rPr>
          <w:rFonts w:hint="eastAsia" w:ascii="宋体" w:hAnsi="宋体" w:cs="宋体"/>
          <w:kern w:val="0"/>
          <w:sz w:val="24"/>
          <w:szCs w:val="24"/>
          <w:lang w:val="en-US" w:eastAsia="zh-CN"/>
        </w:rPr>
        <w:t>12</w:t>
      </w:r>
      <w:r>
        <w:rPr>
          <w:rFonts w:hint="eastAsia" w:ascii="宋体" w:hAnsi="宋体" w:eastAsia="宋体" w:cs="宋体"/>
          <w:kern w:val="0"/>
          <w:sz w:val="24"/>
          <w:szCs w:val="24"/>
        </w:rPr>
        <w:t>）商订及履行过程中的廉洁风险，维护正常的市场秩序和双方的合法权益，根据反腐倡廉相关规定，经双方商议，特签订本协议。</w:t>
      </w:r>
    </w:p>
    <w:p>
      <w:pPr>
        <w:tabs>
          <w:tab w:val="left" w:pos="950"/>
        </w:tabs>
        <w:spacing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一、 甲乙双方责任</w:t>
      </w:r>
    </w:p>
    <w:p>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1．严格遵守国家的法律法规和廉洁从业有关规定。</w:t>
      </w:r>
    </w:p>
    <w:p>
      <w:pPr>
        <w:spacing w:line="360" w:lineRule="auto"/>
        <w:ind w:right="420" w:rightChars="20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2．坚持公开、公正、诚信、透明的原则（国家秘密、商业秘密和合同文件另有规定的除外），不得损害国家、集体和双方的正当利益。</w:t>
      </w:r>
    </w:p>
    <w:p>
      <w:pPr>
        <w:spacing w:line="360" w:lineRule="auto"/>
        <w:ind w:right="420" w:rightChars="20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3．定期开展党风廉政宣传教育活动，提高从业人员的廉洁意识。</w:t>
      </w:r>
    </w:p>
    <w:p>
      <w:pPr>
        <w:spacing w:line="360" w:lineRule="auto"/>
        <w:ind w:right="420" w:rightChars="20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4．规范招标及采购管理，加强廉洁风险防范。</w:t>
      </w:r>
    </w:p>
    <w:p>
      <w:pPr>
        <w:spacing w:line="360" w:lineRule="auto"/>
        <w:ind w:right="420" w:rightChars="20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5．开展多种形式的监督检查。</w:t>
      </w:r>
    </w:p>
    <w:p>
      <w:pPr>
        <w:spacing w:line="360" w:lineRule="auto"/>
        <w:ind w:right="420" w:rightChars="20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6．发生涉及本项目的不廉洁问题，及时按规定向双方纪检监察部门或司法机关举报或通报，并积极配合查处。</w:t>
      </w:r>
    </w:p>
    <w:p>
      <w:pPr>
        <w:tabs>
          <w:tab w:val="left" w:pos="950"/>
        </w:tabs>
        <w:spacing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二、甲方人员义务</w:t>
      </w:r>
    </w:p>
    <w:p>
      <w:pPr>
        <w:spacing w:line="360" w:lineRule="auto"/>
        <w:ind w:right="420" w:rightChars="20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1．不得索取或接受乙方提供的利益和方便。</w:t>
      </w:r>
    </w:p>
    <w:p>
      <w:pPr>
        <w:spacing w:line="360" w:lineRule="auto"/>
        <w:ind w:right="420" w:rightChars="20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（1）不得索取或接受乙方的礼品、礼金、有价证券、支付凭证和商业预付卡等（以下简称礼品礼金）；</w:t>
      </w:r>
    </w:p>
    <w:p>
      <w:pPr>
        <w:spacing w:line="360" w:lineRule="auto"/>
        <w:ind w:right="420" w:rightChars="20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（2）不得参加乙方安排的宴请和娱乐活动；不得接受乙方提供的通讯工具、交通工具及其他服务；</w:t>
      </w:r>
    </w:p>
    <w:p>
      <w:pPr>
        <w:spacing w:line="360" w:lineRule="auto"/>
        <w:ind w:right="420" w:rightChars="20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（3）不得在个人住房装修、婚丧嫁娶、配偶、子女和其他亲属就业、旅游等事宜中索取或接受乙方提供的利益和便利；不得在乙方报销任何应由甲方负担或支付的费用；</w:t>
      </w:r>
    </w:p>
    <w:p>
      <w:pPr>
        <w:spacing w:line="360" w:lineRule="auto"/>
        <w:ind w:right="420" w:rightChars="20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2．不得利用职权从事各种有偿中介活动，不得营私舞弊。</w:t>
      </w:r>
    </w:p>
    <w:p>
      <w:pPr>
        <w:spacing w:line="360" w:lineRule="auto"/>
        <w:ind w:right="420" w:rightChars="20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3．甲方人员的配偶、子女、近亲属不得从事与甲方项目有关的物资供应、工程分包、劳务等经济活动。</w:t>
      </w:r>
    </w:p>
    <w:p>
      <w:pPr>
        <w:spacing w:line="360" w:lineRule="auto"/>
        <w:ind w:right="420" w:rightChars="20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4．不得违反规定向乙方推荐分包商或供应商。</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5．不得有其他不廉洁行为。</w:t>
      </w:r>
    </w:p>
    <w:p>
      <w:pPr>
        <w:tabs>
          <w:tab w:val="left" w:pos="950"/>
        </w:tabs>
        <w:spacing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三、乙方人员义务</w:t>
      </w:r>
    </w:p>
    <w:p>
      <w:pPr>
        <w:spacing w:line="360" w:lineRule="auto"/>
        <w:ind w:right="420" w:rightChars="20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1．不得以任何形式向甲方及相关人员输送利益和方便。</w:t>
      </w:r>
    </w:p>
    <w:p>
      <w:pPr>
        <w:spacing w:line="360" w:lineRule="auto"/>
        <w:ind w:right="420" w:rightChars="20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（1）不得向甲方及相关人员行贿或馈赠礼品礼金；</w:t>
      </w:r>
    </w:p>
    <w:p>
      <w:pPr>
        <w:spacing w:line="360" w:lineRule="auto"/>
        <w:ind w:right="420" w:rightChars="20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（2）不得向甲方及相关人员提供宴请和娱乐活动；不得为其购置或提供通讯工具、交通工具及其他服务；</w:t>
      </w:r>
    </w:p>
    <w:p>
      <w:pPr>
        <w:spacing w:line="360" w:lineRule="auto"/>
        <w:ind w:right="420" w:rightChars="20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（3）不得为甲方及相关人员在住房装修、婚丧嫁娶、配偶、子女和其他亲属就业、旅游等事宜中提供利益和便利；不得以任何名义报销应由甲方及相关人员负担或支付的费用。</w:t>
      </w:r>
    </w:p>
    <w:p>
      <w:pPr>
        <w:spacing w:line="360" w:lineRule="auto"/>
        <w:ind w:right="420" w:rightChars="20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2．不得有其他不廉洁行为。</w:t>
      </w:r>
    </w:p>
    <w:p>
      <w:pPr>
        <w:spacing w:line="360" w:lineRule="auto"/>
        <w:ind w:right="420" w:rightChars="20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3．积极支持配合甲方调查问题，不得隐瞒、袒护甲方及相关人员的不廉洁问题。</w:t>
      </w:r>
    </w:p>
    <w:p>
      <w:pPr>
        <w:tabs>
          <w:tab w:val="left" w:pos="950"/>
        </w:tabs>
        <w:spacing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四、 责任追究</w:t>
      </w:r>
    </w:p>
    <w:p>
      <w:pPr>
        <w:spacing w:line="360" w:lineRule="auto"/>
        <w:ind w:right="420" w:rightChars="20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1．按照国家、上级机关和甲乙双方的有关制度和规定，以甲方为主、乙方配合，追究涉及本项目的不廉洁问题。</w:t>
      </w:r>
    </w:p>
    <w:p>
      <w:pPr>
        <w:spacing w:line="360" w:lineRule="auto"/>
        <w:ind w:right="420" w:rightChars="20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2．建立廉洁违约罚金制度。廉洁违约罚金的额度为合同总额的1%（不超过50万元）。如违反本协议，根据情节、损失和后果按以下规定在合同支付款中进行扣减。</w:t>
      </w:r>
    </w:p>
    <w:p>
      <w:pPr>
        <w:spacing w:line="360" w:lineRule="auto"/>
        <w:ind w:right="420" w:rightChars="20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（1）造成直接损失或不良后果，情节较轻的，扣除10%-40%廉洁违约罚金；</w:t>
      </w:r>
    </w:p>
    <w:p>
      <w:pPr>
        <w:spacing w:line="360" w:lineRule="auto"/>
        <w:ind w:right="420" w:rightChars="20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（2）情节较重的，扣除50%廉洁违约罚金；</w:t>
      </w:r>
    </w:p>
    <w:p>
      <w:pPr>
        <w:spacing w:line="360" w:lineRule="auto"/>
        <w:ind w:right="420" w:rightChars="20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（3）情节严重的，扣除100%廉洁违约罚金。</w:t>
      </w:r>
    </w:p>
    <w:p>
      <w:pPr>
        <w:spacing w:line="360" w:lineRule="auto"/>
        <w:ind w:right="420" w:rightChars="20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3．廉洁违约罚金的扣减：由合同管理单位根据纪检监察部门的处罚意见，与合同进度款的结算同步进行。</w:t>
      </w:r>
    </w:p>
    <w:p>
      <w:pPr>
        <w:spacing w:line="360" w:lineRule="auto"/>
        <w:ind w:right="420" w:rightChars="20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4．对积极配合甲方调查，并确有立功表现或从轻、减轻违纪违规情节的，可根据相关规定履行审批手续后酌情减免处罚。</w:t>
      </w:r>
    </w:p>
    <w:p>
      <w:pPr>
        <w:spacing w:line="360" w:lineRule="auto"/>
        <w:ind w:right="420" w:rightChars="20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5．上述处罚的同时，甲方可按照</w:t>
      </w:r>
      <w:r>
        <w:rPr>
          <w:rFonts w:hint="eastAsia" w:ascii="宋体" w:hAnsi="宋体" w:eastAsia="宋体" w:cs="宋体"/>
          <w:kern w:val="0"/>
          <w:sz w:val="24"/>
          <w:szCs w:val="24"/>
          <w:lang w:val="en-US" w:eastAsia="zh-CN"/>
        </w:rPr>
        <w:t>福能</w:t>
      </w:r>
      <w:r>
        <w:rPr>
          <w:rFonts w:hint="eastAsia" w:ascii="宋体" w:hAnsi="宋体" w:eastAsia="宋体" w:cs="宋体"/>
          <w:kern w:val="0"/>
          <w:sz w:val="24"/>
          <w:szCs w:val="24"/>
        </w:rPr>
        <w:t>集团公司有关规定另行给予乙方暂停合同履行、降低信用评级、禁止参加甲方其他项目等处理。</w:t>
      </w:r>
    </w:p>
    <w:p>
      <w:pPr>
        <w:spacing w:line="360" w:lineRule="auto"/>
        <w:ind w:right="420" w:rightChars="20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6．甲方违反本协议，影响乙方履行合同并造成损失的，甲方应承担赔偿责任。</w:t>
      </w:r>
    </w:p>
    <w:p>
      <w:pPr>
        <w:tabs>
          <w:tab w:val="left" w:pos="950"/>
        </w:tabs>
        <w:spacing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五、监督执行</w:t>
      </w:r>
    </w:p>
    <w:p>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1．本协议作为项目合同的附件，由甲乙双方纪检监察部门联合监督执行。</w:t>
      </w:r>
    </w:p>
    <w:p>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2．甲方举报电话：</w:t>
      </w:r>
      <w:r>
        <w:rPr>
          <w:rFonts w:hint="eastAsia" w:ascii="宋体" w:hAnsi="宋体" w:eastAsia="宋体" w:cs="宋体"/>
          <w:kern w:val="0"/>
          <w:sz w:val="24"/>
          <w:szCs w:val="24"/>
          <w:lang w:val="en-US" w:eastAsia="zh-CN"/>
        </w:rPr>
        <w:t>0591-63326062</w:t>
      </w:r>
      <w:r>
        <w:rPr>
          <w:rFonts w:hint="eastAsia" w:ascii="宋体" w:hAnsi="宋体" w:eastAsia="宋体" w:cs="宋体"/>
          <w:kern w:val="0"/>
          <w:sz w:val="24"/>
          <w:szCs w:val="24"/>
        </w:rPr>
        <w:t>；乙方举报电话：</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 xml:space="preserve"> 。</w:t>
      </w:r>
    </w:p>
    <w:p>
      <w:pPr>
        <w:tabs>
          <w:tab w:val="left" w:pos="950"/>
        </w:tabs>
        <w:spacing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六、其他</w:t>
      </w:r>
    </w:p>
    <w:p>
      <w:pPr>
        <w:spacing w:line="360" w:lineRule="auto"/>
        <w:ind w:right="420" w:rightChars="20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1．因执行本协议所发生的有关争议，适用主合同争议解决条款。</w:t>
      </w:r>
    </w:p>
    <w:p>
      <w:pPr>
        <w:spacing w:line="360" w:lineRule="auto"/>
        <w:ind w:right="420" w:rightChars="20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2．本协议作为</w:t>
      </w:r>
      <w:r>
        <w:rPr>
          <w:rFonts w:hint="eastAsia" w:ascii="宋体" w:hAnsi="宋体" w:cs="宋体"/>
          <w:kern w:val="0"/>
          <w:sz w:val="24"/>
          <w:szCs w:val="24"/>
          <w:lang w:eastAsia="zh-CN"/>
        </w:rPr>
        <w:t>2025年度龙下风电场构筑物防雷装置安全检测项目</w:t>
      </w:r>
      <w:r>
        <w:rPr>
          <w:rFonts w:hint="eastAsia" w:ascii="宋体" w:hAnsi="宋体" w:eastAsia="宋体" w:cs="宋体"/>
          <w:bCs w:val="0"/>
          <w:kern w:val="0"/>
          <w:sz w:val="24"/>
          <w:szCs w:val="24"/>
          <w:lang w:val="en-US" w:eastAsia="zh-CN"/>
        </w:rPr>
        <w:t>合同</w:t>
      </w:r>
      <w:r>
        <w:rPr>
          <w:rFonts w:hint="eastAsia" w:ascii="宋体" w:hAnsi="宋体" w:eastAsia="宋体" w:cs="宋体"/>
          <w:kern w:val="0"/>
          <w:sz w:val="24"/>
          <w:szCs w:val="24"/>
        </w:rPr>
        <w:t>的附件。</w:t>
      </w:r>
    </w:p>
    <w:p>
      <w:pPr>
        <w:spacing w:line="360" w:lineRule="auto"/>
        <w:ind w:right="420" w:rightChars="20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3．双方法定代表人或其委托代理人在此签字并加盖公章，签字并盖章之日起本协议生效。</w:t>
      </w:r>
    </w:p>
    <w:p>
      <w:pPr>
        <w:tabs>
          <w:tab w:val="left" w:pos="1800"/>
        </w:tabs>
        <w:spacing w:line="360" w:lineRule="auto"/>
        <w:ind w:firstLine="482" w:firstLineChars="200"/>
        <w:jc w:val="center"/>
        <w:rPr>
          <w:rFonts w:asciiTheme="minorEastAsia" w:hAnsiTheme="minorEastAsia" w:eastAsiaTheme="minorEastAsia" w:cstheme="minorEastAsia"/>
          <w:b/>
          <w:sz w:val="24"/>
          <w:szCs w:val="24"/>
        </w:rPr>
      </w:pPr>
    </w:p>
    <w:p>
      <w:pPr>
        <w:tabs>
          <w:tab w:val="left" w:pos="1800"/>
        </w:tabs>
        <w:spacing w:line="360" w:lineRule="auto"/>
        <w:ind w:firstLine="602" w:firstLineChars="200"/>
        <w:jc w:val="cente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本页为《廉洁协议》签署页</w:t>
      </w:r>
    </w:p>
    <w:p>
      <w:pPr>
        <w:tabs>
          <w:tab w:val="left" w:pos="1800"/>
        </w:tabs>
        <w:spacing w:line="360" w:lineRule="auto"/>
        <w:ind w:firstLine="480" w:firstLineChars="200"/>
        <w:rPr>
          <w:rFonts w:asciiTheme="minorEastAsia" w:hAnsiTheme="minorEastAsia" w:eastAsiaTheme="minorEastAsia" w:cstheme="minorEastAsia"/>
          <w:bCs/>
          <w:sz w:val="24"/>
        </w:rPr>
      </w:pPr>
    </w:p>
    <w:p>
      <w:pPr>
        <w:tabs>
          <w:tab w:val="left" w:pos="1800"/>
        </w:tabs>
        <w:spacing w:line="360" w:lineRule="auto"/>
        <w:ind w:firstLine="480" w:firstLineChars="200"/>
        <w:rPr>
          <w:rFonts w:asciiTheme="minorEastAsia" w:hAnsiTheme="minorEastAsia" w:eastAsiaTheme="minorEastAsia" w:cstheme="minorEastAsia"/>
          <w:bCs/>
          <w:sz w:val="24"/>
        </w:rPr>
      </w:pPr>
    </w:p>
    <w:tbl>
      <w:tblPr>
        <w:tblStyle w:val="31"/>
        <w:tblW w:w="8522" w:type="dxa"/>
        <w:jc w:val="center"/>
        <w:tblInd w:w="0" w:type="dxa"/>
        <w:tblLayout w:type="fixed"/>
        <w:tblCellMar>
          <w:top w:w="0" w:type="dxa"/>
          <w:left w:w="108" w:type="dxa"/>
          <w:bottom w:w="0" w:type="dxa"/>
          <w:right w:w="108" w:type="dxa"/>
        </w:tblCellMar>
      </w:tblPr>
      <w:tblGrid>
        <w:gridCol w:w="4261"/>
        <w:gridCol w:w="4261"/>
      </w:tblGrid>
      <w:tr>
        <w:tblPrEx>
          <w:tblLayout w:type="fixed"/>
          <w:tblCellMar>
            <w:top w:w="0" w:type="dxa"/>
            <w:left w:w="108" w:type="dxa"/>
            <w:bottom w:w="0" w:type="dxa"/>
            <w:right w:w="108" w:type="dxa"/>
          </w:tblCellMar>
        </w:tblPrEx>
        <w:trPr>
          <w:trHeight w:val="1426" w:hRule="atLeast"/>
          <w:jc w:val="center"/>
        </w:trPr>
        <w:tc>
          <w:tcPr>
            <w:tcW w:w="4261" w:type="dxa"/>
            <w:shd w:val="clear" w:color="auto" w:fill="auto"/>
            <w:vAlign w:val="center"/>
          </w:tcPr>
          <w:p>
            <w:pPr>
              <w:widowControl/>
              <w:spacing w:line="360" w:lineRule="auto"/>
              <w:ind w:left="0" w:leftChars="0" w:firstLine="0" w:firstLineChars="0"/>
              <w:jc w:val="left"/>
              <w:rPr>
                <w:rFonts w:hint="eastAsia"/>
                <w:b/>
                <w:bCs/>
                <w:kern w:val="0"/>
                <w:sz w:val="24"/>
                <w:szCs w:val="18"/>
              </w:rPr>
            </w:pPr>
            <w:bookmarkStart w:id="133" w:name="OLE_LINK19"/>
            <w:r>
              <w:rPr>
                <w:rFonts w:hint="eastAsia"/>
                <w:b/>
                <w:bCs/>
                <w:kern w:val="0"/>
                <w:sz w:val="24"/>
                <w:szCs w:val="18"/>
                <w:u w:val="single"/>
              </w:rPr>
              <w:t>甲方：福建省福能海峡发电有限公司</w:t>
            </w:r>
          </w:p>
        </w:tc>
        <w:tc>
          <w:tcPr>
            <w:tcW w:w="4261" w:type="dxa"/>
            <w:shd w:val="clear" w:color="auto" w:fill="auto"/>
            <w:vAlign w:val="center"/>
          </w:tcPr>
          <w:p>
            <w:pPr>
              <w:widowControl/>
              <w:spacing w:line="360" w:lineRule="auto"/>
              <w:ind w:left="0" w:leftChars="0" w:firstLine="0" w:firstLineChars="0"/>
              <w:jc w:val="left"/>
              <w:rPr>
                <w:rFonts w:hint="eastAsia"/>
                <w:b/>
                <w:bCs/>
                <w:kern w:val="0"/>
                <w:sz w:val="24"/>
                <w:szCs w:val="18"/>
              </w:rPr>
            </w:pPr>
            <w:r>
              <w:rPr>
                <w:rFonts w:hint="eastAsia"/>
                <w:b/>
                <w:bCs/>
                <w:kern w:val="0"/>
                <w:sz w:val="24"/>
                <w:szCs w:val="18"/>
                <w:u w:val="single"/>
              </w:rPr>
              <w:t>乙方：</w:t>
            </w:r>
          </w:p>
        </w:tc>
      </w:tr>
      <w:tr>
        <w:tblPrEx>
          <w:tblLayout w:type="fixed"/>
          <w:tblCellMar>
            <w:top w:w="0" w:type="dxa"/>
            <w:left w:w="108" w:type="dxa"/>
            <w:bottom w:w="0" w:type="dxa"/>
            <w:right w:w="108" w:type="dxa"/>
          </w:tblCellMar>
        </w:tblPrEx>
        <w:trPr>
          <w:trHeight w:val="2198" w:hRule="atLeast"/>
          <w:jc w:val="center"/>
        </w:trPr>
        <w:tc>
          <w:tcPr>
            <w:tcW w:w="4261" w:type="dxa"/>
            <w:shd w:val="clear" w:color="auto" w:fill="auto"/>
            <w:vAlign w:val="center"/>
          </w:tcPr>
          <w:p>
            <w:pPr>
              <w:widowControl/>
              <w:spacing w:line="360" w:lineRule="auto"/>
              <w:ind w:left="-2" w:leftChars="-1"/>
              <w:jc w:val="left"/>
              <w:rPr>
                <w:rFonts w:hint="eastAsia"/>
                <w:kern w:val="0"/>
                <w:sz w:val="24"/>
                <w:szCs w:val="18"/>
              </w:rPr>
            </w:pPr>
            <w:r>
              <w:rPr>
                <w:rFonts w:hint="eastAsia"/>
                <w:kern w:val="0"/>
                <w:sz w:val="24"/>
                <w:szCs w:val="18"/>
              </w:rPr>
              <w:t xml:space="preserve">法定代表人 </w:t>
            </w:r>
          </w:p>
          <w:p>
            <w:pPr>
              <w:widowControl/>
              <w:spacing w:line="360" w:lineRule="auto"/>
              <w:ind w:left="-2" w:leftChars="-1"/>
              <w:jc w:val="left"/>
              <w:rPr>
                <w:rFonts w:hint="eastAsia"/>
                <w:kern w:val="0"/>
                <w:sz w:val="24"/>
                <w:szCs w:val="18"/>
              </w:rPr>
            </w:pPr>
            <w:r>
              <w:rPr>
                <w:rFonts w:hint="eastAsia"/>
                <w:kern w:val="0"/>
                <w:sz w:val="24"/>
                <w:szCs w:val="18"/>
              </w:rPr>
              <w:t>或其委托代理人：</w:t>
            </w:r>
          </w:p>
        </w:tc>
        <w:tc>
          <w:tcPr>
            <w:tcW w:w="4261" w:type="dxa"/>
            <w:shd w:val="clear" w:color="auto" w:fill="auto"/>
            <w:vAlign w:val="center"/>
          </w:tcPr>
          <w:p>
            <w:pPr>
              <w:widowControl/>
              <w:spacing w:line="360" w:lineRule="auto"/>
              <w:ind w:left="-2" w:leftChars="-1"/>
              <w:jc w:val="left"/>
              <w:rPr>
                <w:rFonts w:hint="eastAsia"/>
                <w:kern w:val="0"/>
                <w:sz w:val="24"/>
                <w:szCs w:val="18"/>
              </w:rPr>
            </w:pPr>
            <w:r>
              <w:rPr>
                <w:rFonts w:hint="eastAsia"/>
                <w:kern w:val="0"/>
                <w:sz w:val="24"/>
                <w:szCs w:val="18"/>
              </w:rPr>
              <w:t xml:space="preserve">法定代表人 </w:t>
            </w:r>
          </w:p>
          <w:p>
            <w:pPr>
              <w:widowControl/>
              <w:spacing w:line="360" w:lineRule="auto"/>
              <w:ind w:left="-2" w:leftChars="-1"/>
              <w:jc w:val="left"/>
              <w:rPr>
                <w:rFonts w:hint="eastAsia"/>
                <w:kern w:val="0"/>
                <w:sz w:val="24"/>
                <w:szCs w:val="18"/>
              </w:rPr>
            </w:pPr>
            <w:r>
              <w:rPr>
                <w:rFonts w:hint="eastAsia"/>
                <w:kern w:val="0"/>
                <w:sz w:val="24"/>
                <w:szCs w:val="18"/>
              </w:rPr>
              <w:t>或其委托代理人：</w:t>
            </w:r>
          </w:p>
        </w:tc>
      </w:tr>
      <w:tr>
        <w:tblPrEx>
          <w:tblLayout w:type="fixed"/>
          <w:tblCellMar>
            <w:top w:w="0" w:type="dxa"/>
            <w:left w:w="108" w:type="dxa"/>
            <w:bottom w:w="0" w:type="dxa"/>
            <w:right w:w="108" w:type="dxa"/>
          </w:tblCellMar>
        </w:tblPrEx>
        <w:trPr>
          <w:trHeight w:val="635" w:hRule="atLeast"/>
          <w:jc w:val="center"/>
        </w:trPr>
        <w:tc>
          <w:tcPr>
            <w:tcW w:w="4261" w:type="dxa"/>
            <w:shd w:val="clear" w:color="auto" w:fill="auto"/>
            <w:vAlign w:val="center"/>
          </w:tcPr>
          <w:p>
            <w:pPr>
              <w:widowControl/>
              <w:spacing w:line="360" w:lineRule="auto"/>
              <w:ind w:left="-2" w:leftChars="-1"/>
              <w:jc w:val="left"/>
              <w:rPr>
                <w:rFonts w:hint="eastAsia"/>
                <w:kern w:val="0"/>
                <w:sz w:val="24"/>
                <w:szCs w:val="18"/>
              </w:rPr>
            </w:pPr>
          </w:p>
        </w:tc>
        <w:tc>
          <w:tcPr>
            <w:tcW w:w="4261" w:type="dxa"/>
            <w:shd w:val="clear" w:color="auto" w:fill="auto"/>
            <w:vAlign w:val="center"/>
          </w:tcPr>
          <w:p>
            <w:pPr>
              <w:widowControl/>
              <w:spacing w:line="360" w:lineRule="auto"/>
              <w:ind w:left="-2" w:leftChars="-1"/>
              <w:jc w:val="left"/>
              <w:rPr>
                <w:rFonts w:hint="eastAsia"/>
                <w:kern w:val="0"/>
                <w:sz w:val="24"/>
                <w:szCs w:val="18"/>
              </w:rPr>
            </w:pPr>
          </w:p>
        </w:tc>
      </w:tr>
      <w:tr>
        <w:tblPrEx>
          <w:tblLayout w:type="fixed"/>
          <w:tblCellMar>
            <w:top w:w="0" w:type="dxa"/>
            <w:left w:w="108" w:type="dxa"/>
            <w:bottom w:w="0" w:type="dxa"/>
            <w:right w:w="108" w:type="dxa"/>
          </w:tblCellMar>
        </w:tblPrEx>
        <w:trPr>
          <w:trHeight w:val="635" w:hRule="atLeast"/>
          <w:jc w:val="center"/>
        </w:trPr>
        <w:tc>
          <w:tcPr>
            <w:tcW w:w="4261" w:type="dxa"/>
            <w:shd w:val="clear" w:color="auto" w:fill="auto"/>
            <w:vAlign w:val="center"/>
          </w:tcPr>
          <w:p>
            <w:pPr>
              <w:widowControl/>
              <w:spacing w:line="360" w:lineRule="auto"/>
              <w:ind w:left="-2" w:leftChars="-1"/>
              <w:jc w:val="left"/>
              <w:rPr>
                <w:rFonts w:hint="eastAsia"/>
                <w:kern w:val="0"/>
                <w:sz w:val="24"/>
                <w:szCs w:val="18"/>
                <w:u w:val="single"/>
              </w:rPr>
            </w:pPr>
            <w:r>
              <w:rPr>
                <w:rFonts w:hint="eastAsia"/>
                <w:kern w:val="0"/>
                <w:sz w:val="24"/>
                <w:szCs w:val="18"/>
                <w:u w:val="single"/>
                <w:lang w:eastAsia="zh-CN"/>
              </w:rPr>
              <w:t>2025</w:t>
            </w:r>
            <w:r>
              <w:rPr>
                <w:rFonts w:hint="eastAsia"/>
                <w:kern w:val="0"/>
                <w:sz w:val="24"/>
                <w:szCs w:val="18"/>
                <w:u w:val="single"/>
              </w:rPr>
              <w:t>年</w:t>
            </w:r>
            <w:r>
              <w:rPr>
                <w:rFonts w:hint="eastAsia"/>
                <w:kern w:val="0"/>
                <w:sz w:val="24"/>
                <w:szCs w:val="18"/>
                <w:u w:val="single"/>
                <w:lang w:val="en-US" w:eastAsia="zh-CN"/>
              </w:rPr>
              <w:t xml:space="preserve"> </w:t>
            </w:r>
            <w:r>
              <w:rPr>
                <w:rFonts w:hint="eastAsia"/>
                <w:kern w:val="0"/>
                <w:sz w:val="24"/>
                <w:szCs w:val="18"/>
                <w:u w:val="single"/>
              </w:rPr>
              <w:t xml:space="preserve"> </w:t>
            </w:r>
            <w:r>
              <w:rPr>
                <w:rFonts w:hint="eastAsia"/>
                <w:kern w:val="0"/>
                <w:sz w:val="24"/>
                <w:szCs w:val="18"/>
                <w:u w:val="single"/>
                <w:lang w:val="en-US" w:eastAsia="zh-CN"/>
              </w:rPr>
              <w:t xml:space="preserve"> </w:t>
            </w:r>
            <w:r>
              <w:rPr>
                <w:rFonts w:hint="eastAsia"/>
                <w:kern w:val="0"/>
                <w:sz w:val="24"/>
                <w:szCs w:val="18"/>
                <w:u w:val="single"/>
              </w:rPr>
              <w:t xml:space="preserve">月 </w:t>
            </w:r>
            <w:r>
              <w:rPr>
                <w:rFonts w:hint="eastAsia"/>
                <w:kern w:val="0"/>
                <w:sz w:val="24"/>
                <w:szCs w:val="18"/>
                <w:u w:val="single"/>
                <w:lang w:val="en-US" w:eastAsia="zh-CN"/>
              </w:rPr>
              <w:t xml:space="preserve"> </w:t>
            </w:r>
            <w:r>
              <w:rPr>
                <w:rFonts w:hint="eastAsia"/>
                <w:kern w:val="0"/>
                <w:sz w:val="24"/>
                <w:szCs w:val="18"/>
                <w:u w:val="single"/>
              </w:rPr>
              <w:t xml:space="preserve"> 日</w:t>
            </w:r>
          </w:p>
        </w:tc>
        <w:tc>
          <w:tcPr>
            <w:tcW w:w="4261" w:type="dxa"/>
            <w:shd w:val="clear" w:color="auto" w:fill="auto"/>
            <w:vAlign w:val="center"/>
          </w:tcPr>
          <w:p>
            <w:pPr>
              <w:widowControl/>
              <w:spacing w:line="360" w:lineRule="auto"/>
              <w:ind w:left="-2" w:leftChars="-1"/>
              <w:jc w:val="left"/>
              <w:rPr>
                <w:rFonts w:hint="eastAsia"/>
                <w:kern w:val="0"/>
                <w:sz w:val="24"/>
                <w:szCs w:val="18"/>
                <w:u w:val="single"/>
              </w:rPr>
            </w:pPr>
            <w:r>
              <w:rPr>
                <w:rFonts w:hint="eastAsia"/>
                <w:kern w:val="0"/>
                <w:sz w:val="24"/>
                <w:szCs w:val="18"/>
                <w:u w:val="single"/>
                <w:lang w:eastAsia="zh-CN"/>
              </w:rPr>
              <w:t>2025</w:t>
            </w:r>
            <w:r>
              <w:rPr>
                <w:rFonts w:hint="eastAsia"/>
                <w:kern w:val="0"/>
                <w:sz w:val="24"/>
                <w:szCs w:val="18"/>
                <w:u w:val="single"/>
              </w:rPr>
              <w:t xml:space="preserve">年  </w:t>
            </w:r>
            <w:r>
              <w:rPr>
                <w:rFonts w:hint="eastAsia"/>
                <w:kern w:val="0"/>
                <w:sz w:val="24"/>
                <w:szCs w:val="18"/>
                <w:u w:val="single"/>
                <w:lang w:val="en-US" w:eastAsia="zh-CN"/>
              </w:rPr>
              <w:t xml:space="preserve"> </w:t>
            </w:r>
            <w:r>
              <w:rPr>
                <w:rFonts w:hint="eastAsia"/>
                <w:kern w:val="0"/>
                <w:sz w:val="24"/>
                <w:szCs w:val="18"/>
                <w:u w:val="single"/>
              </w:rPr>
              <w:t>月</w:t>
            </w:r>
            <w:r>
              <w:rPr>
                <w:rFonts w:hint="eastAsia"/>
                <w:kern w:val="0"/>
                <w:sz w:val="24"/>
                <w:szCs w:val="18"/>
                <w:u w:val="single"/>
                <w:lang w:val="en-US" w:eastAsia="zh-CN"/>
              </w:rPr>
              <w:t xml:space="preserve"> </w:t>
            </w:r>
            <w:r>
              <w:rPr>
                <w:rFonts w:hint="eastAsia"/>
                <w:kern w:val="0"/>
                <w:sz w:val="24"/>
                <w:szCs w:val="18"/>
                <w:u w:val="single"/>
              </w:rPr>
              <w:t xml:space="preserve">  日</w:t>
            </w:r>
          </w:p>
        </w:tc>
      </w:tr>
      <w:bookmarkEnd w:id="133"/>
    </w:tbl>
    <w:p>
      <w:pPr>
        <w:pStyle w:val="19"/>
        <w:rPr>
          <w:rFonts w:hint="eastAsia" w:ascii="仿宋_GB2312" w:hAnsi="仿宋_GB2312" w:cs="仿宋_GB2312"/>
          <w:bCs/>
          <w:color w:val="auto"/>
          <w:sz w:val="24"/>
          <w:szCs w:val="24"/>
          <w:highlight w:val="none"/>
          <w:lang w:val="en-US" w:eastAsia="zh-CN"/>
        </w:rPr>
      </w:pPr>
    </w:p>
    <w:p>
      <w:pPr>
        <w:pStyle w:val="19"/>
        <w:rPr>
          <w:rFonts w:hint="eastAsia" w:ascii="仿宋_GB2312" w:hAnsi="仿宋_GB2312" w:cs="仿宋_GB2312"/>
          <w:bCs/>
          <w:color w:val="auto"/>
          <w:sz w:val="24"/>
          <w:szCs w:val="24"/>
          <w:highlight w:val="none"/>
          <w:lang w:val="en-US" w:eastAsia="zh-CN"/>
        </w:rPr>
      </w:pPr>
    </w:p>
    <w:p>
      <w:pPr>
        <w:pStyle w:val="19"/>
        <w:rPr>
          <w:rFonts w:hint="eastAsia" w:ascii="仿宋_GB2312" w:hAnsi="仿宋_GB2312" w:cs="仿宋_GB2312"/>
          <w:bCs/>
          <w:color w:val="auto"/>
          <w:sz w:val="24"/>
          <w:szCs w:val="24"/>
          <w:highlight w:val="none"/>
          <w:lang w:val="en-US" w:eastAsia="zh-CN"/>
        </w:rPr>
      </w:pPr>
    </w:p>
    <w:p>
      <w:pPr>
        <w:pStyle w:val="19"/>
        <w:rPr>
          <w:rFonts w:hint="eastAsia" w:ascii="仿宋_GB2312" w:hAnsi="仿宋_GB2312" w:cs="仿宋_GB2312"/>
          <w:bCs/>
          <w:color w:val="auto"/>
          <w:sz w:val="24"/>
          <w:szCs w:val="24"/>
          <w:highlight w:val="none"/>
          <w:lang w:val="en-US" w:eastAsia="zh-CN"/>
        </w:rPr>
      </w:pPr>
    </w:p>
    <w:p>
      <w:pPr>
        <w:pStyle w:val="19"/>
        <w:rPr>
          <w:rFonts w:hint="eastAsia" w:ascii="仿宋_GB2312" w:hAnsi="仿宋_GB2312" w:cs="仿宋_GB2312"/>
          <w:bCs/>
          <w:color w:val="auto"/>
          <w:sz w:val="24"/>
          <w:szCs w:val="24"/>
          <w:highlight w:val="none"/>
          <w:lang w:val="en-US" w:eastAsia="zh-CN"/>
        </w:rPr>
      </w:pPr>
    </w:p>
    <w:p>
      <w:pPr>
        <w:pStyle w:val="19"/>
        <w:rPr>
          <w:rFonts w:hint="eastAsia" w:ascii="仿宋_GB2312" w:hAnsi="仿宋_GB2312" w:cs="仿宋_GB2312"/>
          <w:bCs/>
          <w:color w:val="auto"/>
          <w:sz w:val="24"/>
          <w:szCs w:val="24"/>
          <w:highlight w:val="none"/>
          <w:lang w:val="en-US" w:eastAsia="zh-CN"/>
        </w:rPr>
      </w:pPr>
    </w:p>
    <w:p>
      <w:pPr>
        <w:spacing w:line="360" w:lineRule="auto"/>
        <w:ind w:firstLine="0" w:firstLineChars="0"/>
        <w:jc w:val="both"/>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eastAsia="zh-CN"/>
        </w:rPr>
        <w:t>附件</w:t>
      </w:r>
      <w:r>
        <w:rPr>
          <w:rFonts w:hint="eastAsia" w:ascii="宋体" w:hAnsi="宋体" w:cs="宋体"/>
          <w:b/>
          <w:bCs/>
          <w:spacing w:val="0"/>
          <w:sz w:val="28"/>
          <w:szCs w:val="28"/>
          <w:lang w:val="en-US" w:eastAsia="zh-CN"/>
        </w:rPr>
        <w:t>三</w:t>
      </w:r>
      <w:r>
        <w:rPr>
          <w:rFonts w:hint="eastAsia" w:ascii="宋体" w:hAnsi="宋体" w:eastAsia="宋体" w:cs="宋体"/>
          <w:b/>
          <w:bCs/>
          <w:spacing w:val="0"/>
          <w:sz w:val="28"/>
          <w:szCs w:val="28"/>
          <w:lang w:val="en-US" w:eastAsia="zh-CN"/>
        </w:rPr>
        <w:t>：</w:t>
      </w:r>
    </w:p>
    <w:p>
      <w:pPr>
        <w:pStyle w:val="19"/>
        <w:jc w:val="center"/>
        <w:rPr>
          <w:rFonts w:hint="eastAsia" w:ascii="仿宋_GB2312" w:hAnsi="仿宋_GB2312" w:cs="仿宋_GB2312"/>
          <w:b/>
          <w:bCs w:val="0"/>
          <w:color w:val="auto"/>
          <w:sz w:val="24"/>
          <w:szCs w:val="24"/>
          <w:highlight w:val="none"/>
          <w:lang w:val="en-US" w:eastAsia="zh-CN"/>
        </w:rPr>
      </w:pPr>
      <w:r>
        <w:rPr>
          <w:rFonts w:hint="eastAsia" w:ascii="仿宋_GB2312" w:hAnsi="仿宋_GB2312" w:cs="仿宋_GB2312"/>
          <w:b/>
          <w:bCs w:val="0"/>
          <w:color w:val="auto"/>
          <w:sz w:val="24"/>
          <w:szCs w:val="24"/>
          <w:highlight w:val="none"/>
          <w:lang w:val="en-US" w:eastAsia="zh-CN"/>
        </w:rPr>
        <w:t>安健环管理协议</w:t>
      </w:r>
    </w:p>
    <w:p>
      <w:pPr>
        <w:keepNext w:val="0"/>
        <w:keepLines w:val="0"/>
        <w:pageBreakBefore w:val="0"/>
        <w:widowControl w:val="0"/>
        <w:kinsoku/>
        <w:overflowPunct/>
        <w:topLinePunct w:val="0"/>
        <w:autoSpaceDN/>
        <w:bidi w:val="0"/>
        <w:spacing w:line="520" w:lineRule="exact"/>
        <w:ind w:left="0" w:left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委托方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福建省福能海峡发电有限公司</w:t>
      </w:r>
      <w:r>
        <w:rPr>
          <w:rFonts w:hint="eastAsia" w:ascii="宋体" w:hAnsi="宋体" w:eastAsia="宋体" w:cs="宋体"/>
          <w:color w:val="auto"/>
          <w:sz w:val="24"/>
          <w:szCs w:val="24"/>
          <w:highlight w:val="none"/>
        </w:rPr>
        <w:t>（以下简称甲方）</w:t>
      </w:r>
    </w:p>
    <w:p>
      <w:pPr>
        <w:keepNext w:val="0"/>
        <w:keepLines w:val="0"/>
        <w:pageBreakBefore w:val="0"/>
        <w:widowControl w:val="0"/>
        <w:kinsoku/>
        <w:overflowPunct/>
        <w:topLinePunct w:val="0"/>
        <w:autoSpaceDN/>
        <w:bidi w:val="0"/>
        <w:spacing w:line="520" w:lineRule="exact"/>
        <w:ind w:left="0" w:left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受托方</w:t>
      </w:r>
      <w:r>
        <w:rPr>
          <w:rFonts w:hint="eastAsia" w:ascii="宋体" w:hAnsi="宋体" w:eastAsia="宋体" w:cs="宋体"/>
          <w:b/>
          <w:bCs/>
          <w:color w:val="auto"/>
          <w:sz w:val="24"/>
          <w:szCs w:val="24"/>
          <w:highlight w:val="none"/>
          <w:lang w:eastAsia="zh-CN"/>
        </w:rPr>
        <w:t>：</w:t>
      </w: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以下简称乙方）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甲乙双方根据</w:t>
      </w:r>
      <w:r>
        <w:rPr>
          <w:rFonts w:hint="eastAsia" w:ascii="宋体" w:hAnsi="宋体" w:eastAsia="宋体" w:cs="宋体"/>
          <w:color w:val="auto"/>
          <w:sz w:val="24"/>
          <w:szCs w:val="24"/>
          <w:highlight w:val="none"/>
          <w:u w:val="none"/>
          <w:lang w:val="en-US" w:eastAsia="zh-CN"/>
        </w:rPr>
        <w:t>主</w:t>
      </w:r>
      <w:r>
        <w:rPr>
          <w:rFonts w:hint="eastAsia" w:ascii="宋体" w:hAnsi="宋体" w:eastAsia="宋体" w:cs="宋体"/>
          <w:color w:val="auto"/>
          <w:sz w:val="24"/>
          <w:szCs w:val="24"/>
          <w:highlight w:val="none"/>
        </w:rPr>
        <w:t>合同约定，为贯彻</w:t>
      </w:r>
      <w:r>
        <w:rPr>
          <w:rFonts w:hint="eastAsia" w:ascii="宋体" w:hAnsi="宋体" w:eastAsia="宋体" w:cs="宋体"/>
          <w:color w:val="auto"/>
          <w:sz w:val="24"/>
          <w:szCs w:val="24"/>
          <w:highlight w:val="none"/>
          <w:lang w:val="en-US" w:eastAsia="zh-CN"/>
        </w:rPr>
        <w:t>落实</w:t>
      </w:r>
      <w:r>
        <w:rPr>
          <w:rFonts w:hint="eastAsia" w:ascii="宋体" w:hAnsi="宋体" w:eastAsia="宋体" w:cs="宋体"/>
          <w:color w:val="auto"/>
          <w:sz w:val="24"/>
          <w:szCs w:val="24"/>
          <w:highlight w:val="none"/>
        </w:rPr>
        <w:t>“安全第一、预防为主、综合治理”的</w:t>
      </w:r>
      <w:r>
        <w:rPr>
          <w:rFonts w:hint="eastAsia" w:ascii="宋体" w:hAnsi="宋体" w:eastAsia="宋体" w:cs="宋体"/>
          <w:color w:val="auto"/>
          <w:sz w:val="24"/>
          <w:szCs w:val="24"/>
          <w:highlight w:val="none"/>
          <w:lang w:val="en-US" w:eastAsia="zh-CN"/>
        </w:rPr>
        <w:t>安全生产</w:t>
      </w:r>
      <w:r>
        <w:rPr>
          <w:rFonts w:hint="eastAsia" w:ascii="宋体" w:hAnsi="宋体" w:eastAsia="宋体" w:cs="宋体"/>
          <w:color w:val="auto"/>
          <w:sz w:val="24"/>
          <w:szCs w:val="24"/>
          <w:highlight w:val="none"/>
        </w:rPr>
        <w:t>方针，明确双方的安</w:t>
      </w:r>
      <w:r>
        <w:rPr>
          <w:rFonts w:hint="eastAsia" w:ascii="宋体" w:hAnsi="宋体" w:eastAsia="宋体" w:cs="宋体"/>
          <w:color w:val="auto"/>
          <w:sz w:val="24"/>
          <w:szCs w:val="24"/>
          <w:highlight w:val="none"/>
          <w:lang w:val="en-US" w:eastAsia="zh-CN"/>
        </w:rPr>
        <w:t>全生产、职业健康、环境保护管理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以下简称安健环管理）</w:t>
      </w:r>
      <w:r>
        <w:rPr>
          <w:rFonts w:hint="eastAsia" w:ascii="宋体" w:hAnsi="宋体" w:eastAsia="宋体" w:cs="宋体"/>
          <w:color w:val="auto"/>
          <w:sz w:val="24"/>
          <w:szCs w:val="24"/>
          <w:highlight w:val="none"/>
        </w:rPr>
        <w:t>责任，确保工作中人身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设备</w:t>
      </w:r>
      <w:r>
        <w:rPr>
          <w:rFonts w:hint="eastAsia" w:ascii="宋体" w:hAnsi="宋体" w:eastAsia="宋体" w:cs="宋体"/>
          <w:color w:val="auto"/>
          <w:sz w:val="24"/>
          <w:szCs w:val="24"/>
          <w:highlight w:val="none"/>
          <w:lang w:val="en-US" w:eastAsia="zh-CN"/>
        </w:rPr>
        <w:t>和环境</w:t>
      </w:r>
      <w:r>
        <w:rPr>
          <w:rFonts w:hint="eastAsia" w:ascii="宋体" w:hAnsi="宋体" w:eastAsia="宋体" w:cs="宋体"/>
          <w:color w:val="auto"/>
          <w:sz w:val="24"/>
          <w:szCs w:val="24"/>
          <w:highlight w:val="none"/>
        </w:rPr>
        <w:t>安全，根据国家有关法律法规，经双方协商一致签订本协议。</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第一条 </w:t>
      </w:r>
      <w:r>
        <w:rPr>
          <w:rFonts w:hint="eastAsia" w:ascii="宋体" w:hAnsi="宋体" w:eastAsia="宋体" w:cs="宋体"/>
          <w:b/>
          <w:bCs/>
          <w:color w:val="auto"/>
          <w:sz w:val="24"/>
          <w:szCs w:val="24"/>
          <w:highlight w:val="none"/>
        </w:rPr>
        <w:t>适</w:t>
      </w:r>
      <w:r>
        <w:rPr>
          <w:rFonts w:hint="eastAsia" w:ascii="宋体" w:hAnsi="宋体" w:eastAsia="宋体" w:cs="宋体"/>
          <w:b/>
          <w:bCs/>
          <w:color w:val="auto"/>
          <w:sz w:val="24"/>
          <w:szCs w:val="24"/>
          <w:highlight w:val="none"/>
          <w:lang w:val="en-US" w:eastAsia="zh-CN"/>
        </w:rPr>
        <w:t>用</w:t>
      </w:r>
      <w:r>
        <w:rPr>
          <w:rFonts w:hint="eastAsia" w:ascii="宋体" w:hAnsi="宋体" w:eastAsia="宋体" w:cs="宋体"/>
          <w:b/>
          <w:bCs/>
          <w:color w:val="auto"/>
          <w:sz w:val="24"/>
          <w:szCs w:val="24"/>
          <w:highlight w:val="none"/>
        </w:rPr>
        <w:t>范围</w:t>
      </w:r>
    </w:p>
    <w:p>
      <w:pPr>
        <w:keepNext w:val="0"/>
        <w:keepLines w:val="0"/>
        <w:pageBreakBefore w:val="0"/>
        <w:widowControl w:val="0"/>
        <w:tabs>
          <w:tab w:val="left" w:pos="72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在</w:t>
      </w:r>
      <w:r>
        <w:rPr>
          <w:rFonts w:hint="eastAsia" w:ascii="宋体" w:hAnsi="宋体" w:eastAsia="宋体" w:cs="宋体"/>
          <w:color w:val="auto"/>
          <w:sz w:val="24"/>
          <w:szCs w:val="24"/>
          <w:highlight w:val="none"/>
        </w:rPr>
        <w:t>甲方管</w:t>
      </w:r>
      <w:r>
        <w:rPr>
          <w:rFonts w:hint="eastAsia" w:ascii="宋体" w:hAnsi="宋体" w:eastAsia="宋体" w:cs="宋体"/>
          <w:color w:val="auto"/>
          <w:sz w:val="24"/>
          <w:szCs w:val="24"/>
          <w:highlight w:val="none"/>
          <w:lang w:val="en-US" w:eastAsia="zh-CN"/>
        </w:rPr>
        <w:t>理区域内进行技术咨询服务、技术支持或厂家协助等工作时，甲、乙双方都受本协议约束。</w:t>
      </w:r>
    </w:p>
    <w:p>
      <w:pPr>
        <w:keepNext w:val="0"/>
        <w:keepLines w:val="0"/>
        <w:pageBreakBefore w:val="0"/>
        <w:widowControl w:val="0"/>
        <w:kinsoku/>
        <w:overflowPunct/>
        <w:topLinePunct w:val="0"/>
        <w:autoSpaceDN/>
        <w:bidi w:val="0"/>
        <w:spacing w:line="520" w:lineRule="exact"/>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条 本协议有效期限</w:t>
      </w:r>
    </w:p>
    <w:p>
      <w:pPr>
        <w:keepNext w:val="0"/>
        <w:keepLines w:val="0"/>
        <w:pageBreakBefore w:val="0"/>
        <w:widowControl w:val="0"/>
        <w:kinsoku/>
        <w:overflowPunct/>
        <w:topLinePunct w:val="0"/>
        <w:autoSpaceDN/>
        <w:bidi w:val="0"/>
        <w:spacing w:line="520" w:lineRule="exact"/>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eastAsia="zh-CN"/>
        </w:rPr>
        <w:t>与主合同一致。</w:t>
      </w:r>
      <w:r>
        <w:rPr>
          <w:rFonts w:hint="eastAsia" w:ascii="宋体" w:hAnsi="宋体" w:eastAsia="宋体" w:cs="宋体"/>
          <w:color w:val="auto"/>
          <w:sz w:val="24"/>
          <w:szCs w:val="24"/>
          <w:highlight w:val="none"/>
        </w:rPr>
        <w:t xml:space="preserve"> </w:t>
      </w:r>
    </w:p>
    <w:p>
      <w:pPr>
        <w:keepNext w:val="0"/>
        <w:keepLines w:val="0"/>
        <w:pageBreakBefore w:val="0"/>
        <w:widowControl w:val="0"/>
        <w:kinsoku/>
        <w:overflowPunct/>
        <w:topLinePunct w:val="0"/>
        <w:autoSpaceDN/>
        <w:bidi w:val="0"/>
        <w:spacing w:line="520" w:lineRule="exact"/>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条 甲方的权利和义务</w:t>
      </w:r>
    </w:p>
    <w:p>
      <w:pPr>
        <w:keepNext w:val="0"/>
        <w:keepLines w:val="0"/>
        <w:pageBreakBefore w:val="0"/>
        <w:widowControl w:val="0"/>
        <w:tabs>
          <w:tab w:val="left" w:pos="284"/>
        </w:tabs>
        <w:kinsoku/>
        <w:overflowPunct/>
        <w:topLinePunct w:val="0"/>
        <w:autoSpaceDE w:val="0"/>
        <w:autoSpaceDN/>
        <w:bidi w:val="0"/>
        <w:spacing w:line="520" w:lineRule="exact"/>
        <w:ind w:left="0" w:leftChars="0"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甲方对乙方在工作过程中的安全文明</w:t>
      </w:r>
      <w:r>
        <w:rPr>
          <w:rFonts w:hint="eastAsia" w:ascii="宋体" w:hAnsi="宋体" w:eastAsia="宋体" w:cs="宋体"/>
          <w:color w:val="auto"/>
          <w:sz w:val="24"/>
          <w:szCs w:val="24"/>
          <w:highlight w:val="none"/>
          <w:lang w:eastAsia="zh-CN"/>
        </w:rPr>
        <w:t>作业</w:t>
      </w:r>
      <w:r>
        <w:rPr>
          <w:rFonts w:hint="eastAsia" w:ascii="宋体" w:hAnsi="宋体" w:eastAsia="宋体" w:cs="宋体"/>
          <w:color w:val="auto"/>
          <w:sz w:val="24"/>
          <w:szCs w:val="24"/>
          <w:highlight w:val="none"/>
        </w:rPr>
        <w:t>有监督管理权。</w:t>
      </w:r>
    </w:p>
    <w:p>
      <w:pPr>
        <w:keepNext w:val="0"/>
        <w:keepLines w:val="0"/>
        <w:pageBreakBefore w:val="0"/>
        <w:widowControl w:val="0"/>
        <w:tabs>
          <w:tab w:val="left" w:pos="284"/>
        </w:tabs>
        <w:kinsoku/>
        <w:overflowPunct/>
        <w:topLinePunct w:val="0"/>
        <w:autoSpaceDE w:val="0"/>
        <w:autoSpaceDN/>
        <w:bidi w:val="0"/>
        <w:spacing w:line="520" w:lineRule="exact"/>
        <w:ind w:left="0" w:leftChars="0" w:firstLine="460" w:firstLineChars="192"/>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甲方有权要求乙方制定</w:t>
      </w:r>
      <w:r>
        <w:rPr>
          <w:rFonts w:hint="eastAsia" w:ascii="宋体" w:hAnsi="宋体" w:eastAsia="宋体" w:cs="宋体"/>
          <w:color w:val="auto"/>
          <w:sz w:val="24"/>
          <w:szCs w:val="24"/>
          <w:highlight w:val="none"/>
          <w:lang w:val="en-US" w:eastAsia="zh-CN"/>
        </w:rPr>
        <w:t>符合现场实际的</w:t>
      </w:r>
      <w:r>
        <w:rPr>
          <w:rFonts w:hint="eastAsia" w:ascii="宋体" w:hAnsi="宋体" w:eastAsia="宋体" w:cs="宋体"/>
          <w:color w:val="auto"/>
          <w:sz w:val="24"/>
          <w:szCs w:val="24"/>
          <w:highlight w:val="none"/>
        </w:rPr>
        <w:t>安</w:t>
      </w:r>
      <w:r>
        <w:rPr>
          <w:rFonts w:hint="eastAsia" w:ascii="宋体" w:hAnsi="宋体" w:eastAsia="宋体" w:cs="宋体"/>
          <w:color w:val="auto"/>
          <w:sz w:val="24"/>
          <w:szCs w:val="24"/>
          <w:highlight w:val="none"/>
          <w:lang w:val="en-US" w:eastAsia="zh-CN"/>
        </w:rPr>
        <w:t>健环</w:t>
      </w:r>
      <w:r>
        <w:rPr>
          <w:rFonts w:hint="eastAsia" w:ascii="宋体" w:hAnsi="宋体" w:eastAsia="宋体" w:cs="宋体"/>
          <w:color w:val="auto"/>
          <w:sz w:val="24"/>
          <w:szCs w:val="24"/>
          <w:highlight w:val="none"/>
        </w:rPr>
        <w:t>措施，并督促执行。</w:t>
      </w:r>
    </w:p>
    <w:p>
      <w:pPr>
        <w:keepNext w:val="0"/>
        <w:keepLines w:val="0"/>
        <w:pageBreakBefore w:val="0"/>
        <w:widowControl w:val="0"/>
        <w:kinsoku/>
        <w:overflowPunct/>
        <w:topLinePunct w:val="0"/>
        <w:autoSpaceDN/>
        <w:bidi w:val="0"/>
        <w:spacing w:line="520" w:lineRule="exact"/>
        <w:ind w:left="0" w:leftChars="0"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甲方有权督促乙方执行安全</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的有关规定，对乙方不符合安全文明</w:t>
      </w:r>
      <w:r>
        <w:rPr>
          <w:rFonts w:hint="eastAsia" w:ascii="宋体" w:hAnsi="宋体" w:eastAsia="宋体" w:cs="宋体"/>
          <w:color w:val="auto"/>
          <w:sz w:val="24"/>
          <w:szCs w:val="24"/>
          <w:highlight w:val="none"/>
          <w:lang w:eastAsia="zh-CN"/>
        </w:rPr>
        <w:t>作业</w:t>
      </w:r>
      <w:r>
        <w:rPr>
          <w:rFonts w:hint="eastAsia" w:ascii="宋体" w:hAnsi="宋体" w:eastAsia="宋体" w:cs="宋体"/>
          <w:color w:val="auto"/>
          <w:sz w:val="24"/>
          <w:szCs w:val="24"/>
          <w:highlight w:val="none"/>
        </w:rPr>
        <w:t>的行为进行纠正、制止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考核</w:t>
      </w:r>
      <w:r>
        <w:rPr>
          <w:rFonts w:hint="eastAsia" w:ascii="宋体" w:hAnsi="宋体" w:eastAsia="宋体" w:cs="宋体"/>
          <w:color w:val="auto"/>
          <w:sz w:val="24"/>
          <w:szCs w:val="24"/>
          <w:highlight w:val="none"/>
        </w:rPr>
        <w:t>并发出整改通知书，视情况令其停工整顿。</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甲方指定</w:t>
      </w:r>
      <w:r>
        <w:rPr>
          <w:rFonts w:hint="eastAsia"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负责与乙方联系安</w:t>
      </w:r>
      <w:r>
        <w:rPr>
          <w:rFonts w:hint="eastAsia" w:hAnsi="宋体" w:eastAsia="宋体" w:cs="宋体"/>
          <w:color w:val="auto"/>
          <w:sz w:val="24"/>
          <w:szCs w:val="24"/>
          <w:highlight w:val="none"/>
          <w:lang w:val="en-US" w:eastAsia="zh-CN"/>
        </w:rPr>
        <w:t>健环</w:t>
      </w:r>
      <w:r>
        <w:rPr>
          <w:rFonts w:hint="eastAsia" w:ascii="宋体" w:hAnsi="宋体" w:eastAsia="宋体" w:cs="宋体"/>
          <w:color w:val="auto"/>
          <w:sz w:val="24"/>
          <w:szCs w:val="24"/>
          <w:highlight w:val="none"/>
          <w:lang w:val="en-US" w:eastAsia="zh-CN"/>
        </w:rPr>
        <w:t>管理</w:t>
      </w:r>
      <w:r>
        <w:rPr>
          <w:rFonts w:hint="eastAsia" w:ascii="宋体" w:hAnsi="宋体" w:eastAsia="宋体" w:cs="宋体"/>
          <w:color w:val="auto"/>
          <w:sz w:val="24"/>
          <w:szCs w:val="24"/>
          <w:highlight w:val="none"/>
        </w:rPr>
        <w:t>方面的工作，</w:t>
      </w:r>
      <w:r>
        <w:rPr>
          <w:rFonts w:hint="eastAsia" w:ascii="宋体" w:hAnsi="宋体" w:eastAsia="宋体" w:cs="宋体"/>
          <w:color w:val="auto"/>
          <w:sz w:val="24"/>
          <w:szCs w:val="24"/>
          <w:highlight w:val="none"/>
          <w:lang w:val="en-US" w:eastAsia="zh-CN"/>
        </w:rPr>
        <w:t>协调</w:t>
      </w:r>
      <w:r>
        <w:rPr>
          <w:rFonts w:hint="eastAsia" w:ascii="宋体" w:hAnsi="宋体" w:eastAsia="宋体" w:cs="宋体"/>
          <w:color w:val="auto"/>
          <w:sz w:val="24"/>
          <w:szCs w:val="24"/>
          <w:highlight w:val="none"/>
        </w:rPr>
        <w:t>处理</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过程中有关的安全文明</w:t>
      </w:r>
      <w:r>
        <w:rPr>
          <w:rFonts w:hint="eastAsia" w:ascii="宋体" w:hAnsi="宋体" w:eastAsia="宋体" w:cs="宋体"/>
          <w:color w:val="auto"/>
          <w:sz w:val="24"/>
          <w:szCs w:val="24"/>
          <w:highlight w:val="none"/>
          <w:lang w:val="en-US" w:eastAsia="zh-CN"/>
        </w:rPr>
        <w:t>作业</w:t>
      </w:r>
      <w:r>
        <w:rPr>
          <w:rFonts w:hint="eastAsia" w:ascii="宋体" w:hAnsi="宋体" w:eastAsia="宋体" w:cs="宋体"/>
          <w:color w:val="auto"/>
          <w:sz w:val="24"/>
          <w:szCs w:val="24"/>
          <w:highlight w:val="none"/>
        </w:rPr>
        <w:t>等</w:t>
      </w:r>
      <w:r>
        <w:rPr>
          <w:rFonts w:hint="eastAsia" w:ascii="宋体" w:hAnsi="宋体" w:eastAsia="宋体" w:cs="宋体"/>
          <w:color w:val="auto"/>
          <w:sz w:val="24"/>
          <w:szCs w:val="24"/>
          <w:highlight w:val="none"/>
          <w:lang w:val="en-US" w:eastAsia="zh-CN"/>
        </w:rPr>
        <w:t>方面的事宜</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甲方有权</w:t>
      </w:r>
      <w:r>
        <w:rPr>
          <w:rFonts w:hint="eastAsia" w:hAnsi="宋体" w:eastAsia="宋体" w:cs="宋体"/>
          <w:color w:val="auto"/>
          <w:sz w:val="24"/>
          <w:szCs w:val="24"/>
          <w:highlight w:val="none"/>
          <w:lang w:val="en-US" w:eastAsia="zh-CN"/>
        </w:rPr>
        <w:t>按合同约定及有关安全生产规定</w:t>
      </w:r>
      <w:r>
        <w:rPr>
          <w:rFonts w:hint="eastAsia" w:ascii="宋体" w:hAnsi="宋体" w:eastAsia="宋体" w:cs="宋体"/>
          <w:color w:val="auto"/>
          <w:sz w:val="24"/>
          <w:szCs w:val="24"/>
          <w:highlight w:val="none"/>
        </w:rPr>
        <w:t>审查乙方的安全资质，有权对乙方</w:t>
      </w:r>
      <w:r>
        <w:rPr>
          <w:rFonts w:hint="eastAsia" w:hAnsi="宋体" w:eastAsia="宋体" w:cs="宋体"/>
          <w:color w:val="auto"/>
          <w:sz w:val="24"/>
          <w:szCs w:val="24"/>
          <w:highlight w:val="none"/>
          <w:lang w:val="en-US" w:eastAsia="zh-CN"/>
        </w:rPr>
        <w:t>工作人员</w:t>
      </w:r>
      <w:r>
        <w:rPr>
          <w:rFonts w:hint="eastAsia" w:ascii="宋体" w:hAnsi="宋体" w:eastAsia="宋体" w:cs="宋体"/>
          <w:color w:val="auto"/>
          <w:sz w:val="24"/>
          <w:szCs w:val="24"/>
          <w:highlight w:val="none"/>
        </w:rPr>
        <w:t>的安全教育</w:t>
      </w:r>
      <w:r>
        <w:rPr>
          <w:rFonts w:hint="eastAsia" w:ascii="宋体" w:hAnsi="宋体" w:eastAsia="宋体" w:cs="宋体"/>
          <w:color w:val="auto"/>
          <w:sz w:val="24"/>
          <w:szCs w:val="24"/>
          <w:highlight w:val="none"/>
          <w:lang w:val="en-US" w:eastAsia="zh-CN"/>
        </w:rPr>
        <w:t>情况</w:t>
      </w:r>
      <w:r>
        <w:rPr>
          <w:rFonts w:hint="eastAsia" w:ascii="宋体" w:hAnsi="宋体" w:eastAsia="宋体" w:cs="宋体"/>
          <w:color w:val="auto"/>
          <w:sz w:val="24"/>
          <w:szCs w:val="24"/>
          <w:highlight w:val="none"/>
        </w:rPr>
        <w:t>进行检查监督</w:t>
      </w:r>
      <w:r>
        <w:rPr>
          <w:rFonts w:hint="eastAsia" w:hAnsi="宋体" w:eastAsia="宋体" w:cs="宋体"/>
          <w:color w:val="auto"/>
          <w:sz w:val="24"/>
          <w:szCs w:val="24"/>
          <w:highlight w:val="none"/>
          <w:lang w:eastAsia="zh-CN"/>
        </w:rPr>
        <w:t>。</w:t>
      </w:r>
    </w:p>
    <w:p>
      <w:pPr>
        <w:keepNext w:val="0"/>
        <w:keepLines w:val="0"/>
        <w:pageBreakBefore w:val="0"/>
        <w:widowControl w:val="0"/>
        <w:kinsoku/>
        <w:overflowPunct/>
        <w:topLinePunct w:val="0"/>
        <w:autoSpaceDN/>
        <w:bidi w:val="0"/>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.乙方人员在工作过程中存在“三违”行为，且屡教不改达三次的，</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en-US" w:eastAsia="zh-CN"/>
        </w:rPr>
        <w:t>有权</w:t>
      </w:r>
      <w:r>
        <w:rPr>
          <w:rFonts w:hint="eastAsia" w:ascii="宋体" w:hAnsi="宋体" w:eastAsia="宋体" w:cs="宋体"/>
          <w:color w:val="auto"/>
          <w:sz w:val="24"/>
          <w:szCs w:val="24"/>
          <w:highlight w:val="none"/>
        </w:rPr>
        <w:t>要求乙方对该违章者作清退</w:t>
      </w:r>
      <w:r>
        <w:rPr>
          <w:rFonts w:hint="eastAsia" w:ascii="宋体" w:hAnsi="宋体" w:eastAsia="宋体" w:cs="宋体"/>
          <w:color w:val="auto"/>
          <w:sz w:val="24"/>
          <w:szCs w:val="24"/>
          <w:highlight w:val="none"/>
          <w:lang w:val="en-US" w:eastAsia="zh-CN"/>
        </w:rPr>
        <w:t>或调换</w:t>
      </w:r>
      <w:r>
        <w:rPr>
          <w:rFonts w:hint="eastAsia" w:ascii="宋体" w:hAnsi="宋体" w:eastAsia="宋体" w:cs="宋体"/>
          <w:color w:val="auto"/>
          <w:sz w:val="24"/>
          <w:szCs w:val="24"/>
          <w:highlight w:val="none"/>
        </w:rPr>
        <w:t>处理。</w:t>
      </w:r>
    </w:p>
    <w:p>
      <w:pPr>
        <w:keepNext w:val="0"/>
        <w:keepLines w:val="0"/>
        <w:pageBreakBefore w:val="0"/>
        <w:widowControl w:val="0"/>
        <w:tabs>
          <w:tab w:val="left" w:pos="540"/>
        </w:tabs>
        <w:kinsoku/>
        <w:overflowPunct/>
        <w:topLinePunct w:val="0"/>
        <w:autoSpaceDN/>
        <w:bidi w:val="0"/>
        <w:spacing w:line="520" w:lineRule="exact"/>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有权审查乙方</w:t>
      </w:r>
      <w:r>
        <w:rPr>
          <w:rFonts w:hint="eastAsia" w:ascii="宋体" w:hAnsi="宋体" w:eastAsia="宋体" w:cs="宋体"/>
          <w:color w:val="auto"/>
          <w:sz w:val="24"/>
          <w:szCs w:val="24"/>
          <w:highlight w:val="none"/>
          <w:lang w:eastAsia="zh-CN"/>
        </w:rPr>
        <w:t>作业</w:t>
      </w:r>
      <w:r>
        <w:rPr>
          <w:rFonts w:hint="eastAsia" w:ascii="宋体" w:hAnsi="宋体" w:eastAsia="宋体" w:cs="宋体"/>
          <w:color w:val="auto"/>
          <w:sz w:val="24"/>
          <w:szCs w:val="24"/>
          <w:highlight w:val="none"/>
        </w:rPr>
        <w:t>人员的居民身份证、户口暂住证、健康证</w:t>
      </w:r>
      <w:r>
        <w:rPr>
          <w:rFonts w:hint="eastAsia" w:ascii="宋体" w:hAnsi="宋体" w:eastAsia="宋体" w:cs="宋体"/>
          <w:color w:val="auto"/>
          <w:sz w:val="24"/>
          <w:szCs w:val="24"/>
          <w:highlight w:val="none"/>
          <w:lang w:eastAsia="zh-CN"/>
        </w:rPr>
        <w:t>（包括职业健康）</w:t>
      </w:r>
      <w:r>
        <w:rPr>
          <w:rFonts w:hint="eastAsia" w:ascii="宋体" w:hAnsi="宋体" w:eastAsia="宋体" w:cs="宋体"/>
          <w:color w:val="auto"/>
          <w:sz w:val="24"/>
          <w:szCs w:val="24"/>
          <w:highlight w:val="none"/>
        </w:rPr>
        <w:t>等身份证明</w:t>
      </w:r>
      <w:r>
        <w:rPr>
          <w:rFonts w:hint="eastAsia" w:ascii="宋体" w:hAnsi="宋体" w:eastAsia="宋体" w:cs="宋体"/>
          <w:color w:val="auto"/>
          <w:sz w:val="24"/>
          <w:szCs w:val="24"/>
          <w:highlight w:val="none"/>
          <w:lang w:eastAsia="zh-CN"/>
        </w:rPr>
        <w:t>。</w:t>
      </w:r>
    </w:p>
    <w:p>
      <w:pPr>
        <w:keepNext w:val="0"/>
        <w:keepLines w:val="0"/>
        <w:pageBreakBefore w:val="0"/>
        <w:widowControl w:val="0"/>
        <w:tabs>
          <w:tab w:val="left" w:pos="540"/>
        </w:tabs>
        <w:kinsoku/>
        <w:overflowPunct/>
        <w:topLinePunct w:val="0"/>
        <w:autoSpaceDN/>
        <w:bidi w:val="0"/>
        <w:spacing w:line="52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甲方有权督促乙方按要求向当地政府监管部门及时报告因乙方原因发生的一般及以上生产安全事故（包括人身、设备、火灾、环境污染、海上交通事故）；有权要求乙方及时进行应急处置、救助伤员，防止事态扩大，并保护好现场；有权要求乙方配合事故调查，并提供事故书面报告。</w:t>
      </w:r>
    </w:p>
    <w:p>
      <w:pPr>
        <w:keepNext w:val="0"/>
        <w:keepLines w:val="0"/>
        <w:pageBreakBefore w:val="0"/>
        <w:widowControl w:val="0"/>
        <w:kinsoku/>
        <w:overflowPunct/>
        <w:topLinePunct w:val="0"/>
        <w:autoSpaceDN/>
        <w:bidi w:val="0"/>
        <w:spacing w:line="520" w:lineRule="exact"/>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条 乙方的权利和义务</w:t>
      </w:r>
    </w:p>
    <w:p>
      <w:pPr>
        <w:keepNext w:val="0"/>
        <w:keepLines w:val="0"/>
        <w:pageBreakBefore w:val="0"/>
        <w:widowControl w:val="0"/>
        <w:tabs>
          <w:tab w:val="left" w:pos="540"/>
        </w:tabs>
        <w:kinsoku/>
        <w:overflowPunct/>
        <w:topLinePunct w:val="0"/>
        <w:autoSpaceDN/>
        <w:bidi w:val="0"/>
        <w:spacing w:line="520" w:lineRule="exact"/>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1.乙方单位的法人代表（实际控制人）是乙方履行本合同时的安全生产第一责任人，对乙方工作人员的安全文明作业全面负责。</w:t>
      </w:r>
    </w:p>
    <w:p>
      <w:pPr>
        <w:keepNext w:val="0"/>
        <w:keepLines w:val="0"/>
        <w:pageBreakBefore w:val="0"/>
        <w:widowControl w:val="0"/>
        <w:tabs>
          <w:tab w:val="left" w:pos="540"/>
        </w:tabs>
        <w:kinsoku/>
        <w:overflowPunct/>
        <w:topLinePunct w:val="0"/>
        <w:autoSpaceDN/>
        <w:bidi w:val="0"/>
        <w:spacing w:line="520" w:lineRule="exact"/>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2.乙方负责提供的本项目所要求的安全资质证明材料应真实、合法、有效。</w:t>
      </w:r>
    </w:p>
    <w:p>
      <w:pPr>
        <w:keepNext w:val="0"/>
        <w:keepLines w:val="0"/>
        <w:pageBreakBefore w:val="0"/>
        <w:widowControl w:val="0"/>
        <w:tabs>
          <w:tab w:val="left" w:pos="540"/>
        </w:tabs>
        <w:kinsoku/>
        <w:overflowPunct/>
        <w:topLinePunct w:val="0"/>
        <w:autoSpaceDN/>
        <w:bidi w:val="0"/>
        <w:spacing w:line="520" w:lineRule="exact"/>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工作人员</w:t>
      </w:r>
      <w:r>
        <w:rPr>
          <w:rFonts w:hint="eastAsia" w:ascii="宋体" w:hAnsi="宋体" w:eastAsia="宋体" w:cs="宋体"/>
          <w:color w:val="auto"/>
          <w:sz w:val="24"/>
          <w:szCs w:val="24"/>
          <w:highlight w:val="none"/>
        </w:rPr>
        <w:t>必须严格</w:t>
      </w:r>
      <w:r>
        <w:rPr>
          <w:rFonts w:hint="eastAsia" w:ascii="宋体" w:hAnsi="宋体" w:eastAsia="宋体" w:cs="宋体"/>
          <w:color w:val="auto"/>
          <w:sz w:val="24"/>
          <w:szCs w:val="24"/>
          <w:highlight w:val="none"/>
          <w:lang w:val="en-US" w:eastAsia="zh-CN"/>
        </w:rPr>
        <w:t>遵守</w:t>
      </w:r>
      <w:r>
        <w:rPr>
          <w:rFonts w:hint="eastAsia" w:ascii="宋体" w:hAnsi="宋体" w:eastAsia="宋体" w:cs="宋体"/>
          <w:color w:val="auto"/>
          <w:sz w:val="24"/>
          <w:szCs w:val="24"/>
          <w:highlight w:val="none"/>
        </w:rPr>
        <w:t>《安全生产法》</w:t>
      </w:r>
      <w:r>
        <w:rPr>
          <w:rFonts w:hint="eastAsia" w:ascii="宋体" w:hAnsi="宋体" w:eastAsia="宋体" w:cs="宋体"/>
          <w:color w:val="auto"/>
          <w:sz w:val="24"/>
          <w:szCs w:val="24"/>
          <w:highlight w:val="none"/>
          <w:lang w:val="en-US" w:eastAsia="zh-CN"/>
        </w:rPr>
        <w:t>《职业病防治法》《环境保护法》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消防法》</w:t>
      </w:r>
      <w:r>
        <w:rPr>
          <w:rFonts w:hint="eastAsia" w:ascii="宋体" w:hAnsi="宋体" w:eastAsia="宋体" w:cs="宋体"/>
          <w:color w:val="auto"/>
          <w:sz w:val="24"/>
          <w:szCs w:val="24"/>
          <w:highlight w:val="none"/>
        </w:rPr>
        <w:t>《电业安全工作规程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热力与机械部分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lang w:val="en-US" w:eastAsia="zh-CN"/>
        </w:rPr>
        <w:t>力</w:t>
      </w:r>
      <w:r>
        <w:rPr>
          <w:rFonts w:hint="eastAsia" w:ascii="宋体" w:hAnsi="宋体" w:eastAsia="宋体" w:cs="宋体"/>
          <w:color w:val="auto"/>
          <w:sz w:val="24"/>
          <w:szCs w:val="24"/>
          <w:highlight w:val="none"/>
        </w:rPr>
        <w:t>安全工作规程（发电厂和变电站电气部分）》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电力设备典型消防规程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《防止电力生产事故的二十五项重点要点》《风力发电场安全规程》及与所从事工作等相关的其他安全生产、职业健康、环境保护法律法规、行业规范、标准与安全规程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同时应遵守甲方有关的安健环管理制度。</w:t>
      </w:r>
    </w:p>
    <w:p>
      <w:pPr>
        <w:keepNext w:val="0"/>
        <w:keepLines w:val="0"/>
        <w:pageBreakBefore w:val="0"/>
        <w:widowControl w:val="0"/>
        <w:tabs>
          <w:tab w:val="left" w:pos="540"/>
        </w:tabs>
        <w:kinsoku/>
        <w:overflowPunct/>
        <w:topLinePunct w:val="0"/>
        <w:autoSpaceDN/>
        <w:bidi w:val="0"/>
        <w:spacing w:line="520" w:lineRule="exact"/>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应遵守国家和地方关于劳动安全、劳务用工相关法律法规，保证其用工的合法性。乙方必须为其在生产现场的作业人员办理工伤保险、意外伤害保险及其他工作所需的一切必要手续和证件，包括公安系统身份识别等，并配备合格的劳动防护用品和安全用具。</w:t>
      </w:r>
    </w:p>
    <w:p>
      <w:pPr>
        <w:keepNext w:val="0"/>
        <w:keepLines w:val="0"/>
        <w:pageBreakBefore w:val="0"/>
        <w:widowControl w:val="0"/>
        <w:tabs>
          <w:tab w:val="left" w:pos="540"/>
        </w:tabs>
        <w:kinsoku/>
        <w:overflowPunct/>
        <w:topLinePunct w:val="0"/>
        <w:autoSpaceDN/>
        <w:bidi w:val="0"/>
        <w:spacing w:line="520" w:lineRule="exact"/>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5.乙方指定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负责与甲方联系安健环管理方面的工作，协调处理工作过程中有关的安全文明作业等方面的事宜。</w:t>
      </w:r>
    </w:p>
    <w:p>
      <w:pPr>
        <w:keepNext w:val="0"/>
        <w:keepLines w:val="0"/>
        <w:pageBreakBefore w:val="0"/>
        <w:widowControl w:val="0"/>
        <w:tabs>
          <w:tab w:val="left" w:pos="540"/>
        </w:tabs>
        <w:kinsoku/>
        <w:overflowPunct/>
        <w:topLinePunct w:val="0"/>
        <w:autoSpaceDN/>
        <w:bidi w:val="0"/>
        <w:spacing w:line="520" w:lineRule="exact"/>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乙方在现场施工作业前应加强危险源辨识、风险评估，对可能引发火灾、爆炸、触电、高空坠落、中毒、窒息、起重伤害、机械伤害、物体打击、淹溺或可能引起严重设备事故的施工作业，应制定相应的预防控制措施，并接受甲方业务主管部门审查和监督，严禁无安全措施或未进行安全交底擅自进入施工作业现场工作。</w:t>
      </w:r>
    </w:p>
    <w:p>
      <w:pPr>
        <w:keepNext w:val="0"/>
        <w:keepLines w:val="0"/>
        <w:pageBreakBefore w:val="0"/>
        <w:widowControl w:val="0"/>
        <w:tabs>
          <w:tab w:val="left" w:pos="540"/>
        </w:tabs>
        <w:kinsoku/>
        <w:overflowPunct/>
        <w:topLinePunct w:val="0"/>
        <w:autoSpaceDN/>
        <w:bidi w:val="0"/>
        <w:spacing w:line="520" w:lineRule="exact"/>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lang w:eastAsia="zh-CN"/>
        </w:rPr>
        <w:t>按甲方</w:t>
      </w:r>
      <w:r>
        <w:rPr>
          <w:rFonts w:hint="eastAsia" w:ascii="宋体" w:hAnsi="宋体" w:eastAsia="宋体" w:cs="宋体"/>
          <w:color w:val="auto"/>
          <w:sz w:val="24"/>
          <w:szCs w:val="24"/>
          <w:highlight w:val="none"/>
          <w:lang w:val="en-US" w:eastAsia="zh-CN"/>
        </w:rPr>
        <w:t>要求及时</w:t>
      </w:r>
      <w:r>
        <w:rPr>
          <w:rFonts w:hint="eastAsia" w:ascii="宋体" w:hAnsi="宋体" w:eastAsia="宋体" w:cs="宋体"/>
          <w:color w:val="auto"/>
          <w:sz w:val="24"/>
          <w:szCs w:val="24"/>
          <w:highlight w:val="none"/>
          <w:lang w:eastAsia="zh-CN"/>
        </w:rPr>
        <w:t>派人</w:t>
      </w:r>
      <w:r>
        <w:rPr>
          <w:rFonts w:hint="eastAsia" w:ascii="宋体" w:hAnsi="宋体" w:eastAsia="宋体" w:cs="宋体"/>
          <w:color w:val="auto"/>
          <w:sz w:val="24"/>
          <w:szCs w:val="24"/>
          <w:highlight w:val="none"/>
        </w:rPr>
        <w:t>参加甲方</w:t>
      </w:r>
      <w:r>
        <w:rPr>
          <w:rFonts w:hint="eastAsia" w:ascii="宋体" w:hAnsi="宋体" w:eastAsia="宋体" w:cs="宋体"/>
          <w:color w:val="auto"/>
          <w:sz w:val="24"/>
          <w:szCs w:val="24"/>
          <w:highlight w:val="none"/>
          <w:lang w:val="en-US" w:eastAsia="zh-CN"/>
        </w:rPr>
        <w:t>组织</w:t>
      </w:r>
      <w:r>
        <w:rPr>
          <w:rFonts w:hint="eastAsia" w:ascii="宋体" w:hAnsi="宋体" w:eastAsia="宋体" w:cs="宋体"/>
          <w:color w:val="auto"/>
          <w:sz w:val="24"/>
          <w:szCs w:val="24"/>
          <w:highlight w:val="none"/>
        </w:rPr>
        <w:t>召开</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安全会议</w:t>
      </w:r>
      <w:r>
        <w:rPr>
          <w:rFonts w:hint="eastAsia" w:ascii="宋体" w:hAnsi="宋体" w:eastAsia="宋体" w:cs="宋体"/>
          <w:color w:val="auto"/>
          <w:sz w:val="24"/>
          <w:szCs w:val="24"/>
          <w:highlight w:val="none"/>
          <w:lang w:val="en-US" w:eastAsia="zh-CN"/>
        </w:rPr>
        <w:t>。</w:t>
      </w:r>
    </w:p>
    <w:p>
      <w:pPr>
        <w:keepNext w:val="0"/>
        <w:keepLines w:val="0"/>
        <w:pageBreakBefore w:val="0"/>
        <w:widowControl w:val="0"/>
        <w:tabs>
          <w:tab w:val="left" w:pos="540"/>
        </w:tabs>
        <w:kinsoku/>
        <w:overflowPunct/>
        <w:topLinePunct w:val="0"/>
        <w:autoSpaceDN/>
        <w:bidi w:val="0"/>
        <w:spacing w:line="520" w:lineRule="exact"/>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8.乙方必须对参与本项目的现场作业人员进行安全教育和安规考试，并报甲方备案。  </w:t>
      </w:r>
    </w:p>
    <w:p>
      <w:pPr>
        <w:keepNext w:val="0"/>
        <w:keepLines w:val="0"/>
        <w:pageBreakBefore w:val="0"/>
        <w:widowControl w:val="0"/>
        <w:tabs>
          <w:tab w:val="left" w:pos="540"/>
        </w:tabs>
        <w:kinsoku/>
        <w:overflowPunct/>
        <w:topLinePunct w:val="0"/>
        <w:autoSpaceDN/>
        <w:bidi w:val="0"/>
        <w:spacing w:line="520" w:lineRule="exact"/>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9.乙方作业人员在进入施工作业现场前应自觉接受甲方安全教育、考试或安全交底；未经安全教育（安全交底）或考试不合格者严禁进入施工作业现场。  </w:t>
      </w:r>
    </w:p>
    <w:p>
      <w:pPr>
        <w:keepNext w:val="0"/>
        <w:keepLines w:val="0"/>
        <w:pageBreakBefore w:val="0"/>
        <w:widowControl w:val="0"/>
        <w:tabs>
          <w:tab w:val="left" w:pos="540"/>
        </w:tabs>
        <w:kinsoku/>
        <w:overflowPunct/>
        <w:topLinePunct w:val="0"/>
        <w:autoSpaceDN/>
        <w:bidi w:val="0"/>
        <w:spacing w:line="520" w:lineRule="exact"/>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10.作业前，乙方应对施工区域、作业环境及甲方提供的设备设施、工器具等进行检查，确认符合安全要求；开工后视为乙方已确认工作现场、作业环境、设施设备、工器具等符合安全要求并处于安全状态。</w:t>
      </w:r>
    </w:p>
    <w:p>
      <w:pPr>
        <w:keepNext w:val="0"/>
        <w:keepLines w:val="0"/>
        <w:pageBreakBefore w:val="0"/>
        <w:widowControl w:val="0"/>
        <w:tabs>
          <w:tab w:val="left" w:pos="540"/>
        </w:tabs>
        <w:kinsoku/>
        <w:overflowPunct/>
        <w:topLinePunct w:val="0"/>
        <w:autoSpaceDN/>
        <w:bidi w:val="0"/>
        <w:spacing w:line="520" w:lineRule="exact"/>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未经甲方同意，乙方不得擅自使用与乙方工作无关的甲方设备设施；不得擅自拆除、变更甲方防护设施及安全警示标识；工作过程中需使用电源、水源、气源时，应报经甲方同意，并落实好相关安全措施，严禁私拉乱接。</w:t>
      </w:r>
    </w:p>
    <w:p>
      <w:pPr>
        <w:keepNext w:val="0"/>
        <w:keepLines w:val="0"/>
        <w:pageBreakBefore w:val="0"/>
        <w:widowControl w:val="0"/>
        <w:tabs>
          <w:tab w:val="left" w:pos="540"/>
        </w:tabs>
        <w:kinsoku/>
        <w:overflowPunct/>
        <w:topLinePunct w:val="0"/>
        <w:autoSpaceDN/>
        <w:bidi w:val="0"/>
        <w:spacing w:line="520" w:lineRule="exact"/>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12.乙方必须主动接受甲方的监督、检查，对乙方人员的“三违”行为，必须接受甲方考核，对甲方提出的安全整改意见必须及时整改并反馈。</w:t>
      </w:r>
    </w:p>
    <w:p>
      <w:pPr>
        <w:keepNext w:val="0"/>
        <w:keepLines w:val="0"/>
        <w:pageBreakBefore w:val="0"/>
        <w:widowControl w:val="0"/>
        <w:tabs>
          <w:tab w:val="left" w:pos="540"/>
        </w:tabs>
        <w:kinsoku/>
        <w:overflowPunct/>
        <w:topLinePunct w:val="0"/>
        <w:autoSpaceDN/>
        <w:bidi w:val="0"/>
        <w:spacing w:line="520" w:lineRule="exact"/>
        <w:ind w:left="0"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b w:val="0"/>
          <w:bCs w:val="0"/>
          <w:color w:val="auto"/>
          <w:sz w:val="24"/>
          <w:szCs w:val="24"/>
          <w:highlight w:val="none"/>
          <w:lang w:val="en-US" w:eastAsia="zh-CN"/>
        </w:rPr>
        <w:t>服务项目属高风险作业（或危险特种作业），</w:t>
      </w:r>
      <w:r>
        <w:rPr>
          <w:rFonts w:hint="eastAsia" w:ascii="宋体" w:hAnsi="宋体" w:cs="宋体"/>
          <w:b w:val="0"/>
          <w:bCs w:val="0"/>
          <w:color w:val="auto"/>
          <w:sz w:val="24"/>
          <w:szCs w:val="24"/>
          <w:highlight w:val="none"/>
          <w:lang w:val="en-US" w:eastAsia="zh-CN"/>
        </w:rPr>
        <w:t>乙方内部完成</w:t>
      </w:r>
      <w:r>
        <w:rPr>
          <w:rFonts w:hint="eastAsia" w:ascii="宋体" w:hAnsi="宋体" w:eastAsia="宋体" w:cs="宋体"/>
          <w:b w:val="0"/>
          <w:bCs w:val="0"/>
          <w:color w:val="auto"/>
          <w:sz w:val="24"/>
          <w:szCs w:val="24"/>
          <w:highlight w:val="none"/>
          <w:lang w:val="en-US" w:eastAsia="zh-CN"/>
        </w:rPr>
        <w:t>审批安全专项服务方案，</w:t>
      </w:r>
      <w:r>
        <w:rPr>
          <w:rFonts w:hint="eastAsia" w:ascii="宋体" w:hAnsi="宋体" w:cs="宋体"/>
          <w:b w:val="0"/>
          <w:bCs w:val="0"/>
          <w:color w:val="auto"/>
          <w:sz w:val="24"/>
          <w:szCs w:val="24"/>
          <w:highlight w:val="none"/>
          <w:lang w:val="en-US" w:eastAsia="zh-CN"/>
        </w:rPr>
        <w:t>将方案</w:t>
      </w:r>
      <w:r>
        <w:rPr>
          <w:rFonts w:hint="eastAsia" w:ascii="宋体" w:hAnsi="宋体" w:eastAsia="宋体" w:cs="宋体"/>
          <w:b w:val="0"/>
          <w:bCs w:val="0"/>
          <w:color w:val="auto"/>
          <w:sz w:val="24"/>
          <w:szCs w:val="24"/>
          <w:highlight w:val="none"/>
          <w:lang w:val="en-US" w:eastAsia="zh-CN"/>
        </w:rPr>
        <w:t>提交给</w:t>
      </w:r>
      <w:r>
        <w:rPr>
          <w:rFonts w:hint="eastAsia" w:ascii="宋体" w:hAnsi="宋体"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lang w:val="en-US" w:eastAsia="zh-CN"/>
        </w:rPr>
        <w:t>报备。</w:t>
      </w:r>
    </w:p>
    <w:p>
      <w:pPr>
        <w:keepNext w:val="0"/>
        <w:keepLines w:val="0"/>
        <w:pageBreakBefore w:val="0"/>
        <w:widowControl w:val="0"/>
        <w:tabs>
          <w:tab w:val="left" w:pos="540"/>
        </w:tabs>
        <w:kinsoku/>
        <w:overflowPunct/>
        <w:topLinePunct w:val="0"/>
        <w:autoSpaceDN/>
        <w:bidi w:val="0"/>
        <w:adjustRightInd w:val="0"/>
        <w:snapToGrid w:val="0"/>
        <w:spacing w:line="400" w:lineRule="exact"/>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乙方作业责任区内安全管理工作由乙方负责，凡由乙方责任造成的事故，由乙方承担全部赔偿责任及经济损失，对发生的事故按“四不放过”的原则进行调查处理；在乙方施工作业责任区内因乙方责任造成的一般及以上生产安全事故（包括人身、设备、火灾、环境污染、</w:t>
      </w:r>
      <w:r>
        <w:rPr>
          <w:rFonts w:hint="eastAsia" w:ascii="宋体" w:hAnsi="宋体" w:cs="宋体"/>
          <w:color w:val="auto"/>
          <w:sz w:val="24"/>
          <w:szCs w:val="24"/>
          <w:highlight w:val="none"/>
          <w:lang w:val="en-US" w:eastAsia="zh-CN"/>
        </w:rPr>
        <w:t>陆上及</w:t>
      </w:r>
      <w:r>
        <w:rPr>
          <w:rFonts w:hint="eastAsia" w:ascii="宋体" w:hAnsi="宋体" w:eastAsia="宋体" w:cs="宋体"/>
          <w:color w:val="auto"/>
          <w:sz w:val="24"/>
          <w:szCs w:val="24"/>
          <w:highlight w:val="none"/>
          <w:lang w:val="en-US" w:eastAsia="zh-CN"/>
        </w:rPr>
        <w:t>海上交通事故），</w:t>
      </w:r>
      <w:r>
        <w:rPr>
          <w:rFonts w:hint="eastAsia"/>
          <w:b w:val="0"/>
          <w:sz w:val="24"/>
          <w:szCs w:val="24"/>
          <w:lang w:val="en-US" w:eastAsia="zh-CN"/>
        </w:rPr>
        <w:t>由乙</w:t>
      </w:r>
      <w:r>
        <w:rPr>
          <w:rFonts w:hint="eastAsia"/>
          <w:b w:val="0"/>
          <w:sz w:val="24"/>
          <w:szCs w:val="24"/>
          <w:lang w:eastAsia="zh-CN"/>
        </w:rPr>
        <w:t>方</w:t>
      </w:r>
      <w:r>
        <w:rPr>
          <w:rFonts w:hint="eastAsia"/>
          <w:b w:val="0"/>
          <w:sz w:val="24"/>
          <w:szCs w:val="24"/>
          <w:lang w:val="en-US" w:eastAsia="zh-CN"/>
        </w:rPr>
        <w:t>负责向事故发生地</w:t>
      </w:r>
      <w:r>
        <w:rPr>
          <w:rFonts w:hint="eastAsia"/>
          <w:b w:val="0"/>
          <w:sz w:val="24"/>
          <w:szCs w:val="24"/>
        </w:rPr>
        <w:t>县级以上人民政府安全生产监督管理部门和负有安全生产监督管理职责的有关部门报告</w:t>
      </w:r>
      <w:r>
        <w:rPr>
          <w:rFonts w:hint="eastAsia"/>
          <w:b w:val="0"/>
          <w:sz w:val="24"/>
          <w:szCs w:val="24"/>
          <w:lang w:eastAsia="zh-CN"/>
        </w:rPr>
        <w:t>；</w:t>
      </w:r>
      <w:r>
        <w:rPr>
          <w:rFonts w:hint="eastAsia"/>
          <w:b w:val="0"/>
          <w:sz w:val="24"/>
          <w:szCs w:val="24"/>
          <w:lang w:val="en-US" w:eastAsia="zh-CN"/>
        </w:rPr>
        <w:t>同时</w:t>
      </w:r>
      <w:r>
        <w:rPr>
          <w:rFonts w:hint="eastAsia"/>
          <w:b w:val="0"/>
          <w:sz w:val="24"/>
          <w:szCs w:val="24"/>
        </w:rPr>
        <w:t>必须立即书面报告（负责报告和调查不安全事件，编写安全事件报告）</w:t>
      </w:r>
      <w:r>
        <w:rPr>
          <w:rFonts w:hint="eastAsia"/>
          <w:b w:val="0"/>
          <w:sz w:val="24"/>
          <w:szCs w:val="24"/>
          <w:lang w:val="en-US" w:eastAsia="zh-CN"/>
        </w:rPr>
        <w:t>甲</w:t>
      </w:r>
      <w:r>
        <w:rPr>
          <w:rFonts w:hint="eastAsia"/>
          <w:b w:val="0"/>
          <w:sz w:val="24"/>
          <w:szCs w:val="24"/>
          <w:lang w:eastAsia="zh-CN"/>
        </w:rPr>
        <w:t>方</w:t>
      </w:r>
      <w:r>
        <w:rPr>
          <w:rFonts w:hint="eastAsia"/>
          <w:b w:val="0"/>
          <w:sz w:val="24"/>
          <w:szCs w:val="24"/>
        </w:rPr>
        <w:t>安全管理部门，并无条件配合</w:t>
      </w:r>
      <w:r>
        <w:rPr>
          <w:rFonts w:hint="eastAsia"/>
          <w:b w:val="0"/>
          <w:sz w:val="24"/>
          <w:szCs w:val="24"/>
          <w:lang w:val="en-US" w:eastAsia="zh-CN"/>
        </w:rPr>
        <w:t>甲</w:t>
      </w:r>
      <w:r>
        <w:rPr>
          <w:rFonts w:hint="eastAsia"/>
          <w:b w:val="0"/>
          <w:sz w:val="24"/>
          <w:szCs w:val="24"/>
          <w:lang w:eastAsia="zh-CN"/>
        </w:rPr>
        <w:t>方</w:t>
      </w:r>
      <w:r>
        <w:rPr>
          <w:rFonts w:hint="eastAsia"/>
          <w:b w:val="0"/>
          <w:sz w:val="24"/>
          <w:szCs w:val="24"/>
        </w:rPr>
        <w:t>进行不安全事件的调查核实工作</w:t>
      </w:r>
      <w:r>
        <w:rPr>
          <w:rFonts w:hint="eastAsia"/>
          <w:b w:val="0"/>
          <w:sz w:val="24"/>
          <w:szCs w:val="24"/>
          <w:lang w:eastAsia="zh-CN"/>
        </w:rPr>
        <w:t>。</w:t>
      </w:r>
      <w:r>
        <w:rPr>
          <w:rFonts w:hint="eastAsia"/>
          <w:b w:val="0"/>
          <w:sz w:val="24"/>
          <w:szCs w:val="24"/>
          <w:lang w:val="en-US" w:eastAsia="zh-CN"/>
        </w:rPr>
        <w:t>期间乙方应</w:t>
      </w:r>
      <w:r>
        <w:rPr>
          <w:rFonts w:hint="eastAsia" w:ascii="宋体" w:hAnsi="宋体" w:eastAsia="宋体" w:cs="宋体"/>
          <w:color w:val="auto"/>
          <w:sz w:val="24"/>
          <w:szCs w:val="24"/>
          <w:highlight w:val="none"/>
          <w:lang w:val="en-US" w:eastAsia="zh-CN"/>
        </w:rPr>
        <w:t>及时开展应急处置、救助伤员，防止事态扩大，并保护好现场，配合事故调查组进行事故调查</w:t>
      </w:r>
      <w:r>
        <w:rPr>
          <w:rFonts w:hint="eastAsia" w:ascii="宋体" w:hAnsi="宋体" w:cs="宋体"/>
          <w:color w:val="auto"/>
          <w:sz w:val="24"/>
          <w:szCs w:val="24"/>
          <w:highlight w:val="none"/>
          <w:lang w:val="en-US" w:eastAsia="zh-CN"/>
        </w:rPr>
        <w:t>，</w:t>
      </w:r>
      <w:r>
        <w:rPr>
          <w:rFonts w:hint="eastAsia"/>
          <w:b w:val="0"/>
          <w:sz w:val="24"/>
          <w:szCs w:val="24"/>
          <w:lang w:val="en-US" w:eastAsia="zh-CN"/>
        </w:rPr>
        <w:t>负责做好家属的安抚、事故善后处理工作</w:t>
      </w:r>
      <w:r>
        <w:rPr>
          <w:rFonts w:hint="eastAsia" w:ascii="宋体" w:hAnsi="宋体" w:eastAsia="宋体" w:cs="宋体"/>
          <w:color w:val="auto"/>
          <w:sz w:val="24"/>
          <w:szCs w:val="24"/>
          <w:highlight w:val="none"/>
          <w:lang w:val="en-US" w:eastAsia="zh-CN"/>
        </w:rPr>
        <w:t>。</w:t>
      </w:r>
    </w:p>
    <w:p>
      <w:pPr>
        <w:keepNext w:val="0"/>
        <w:keepLines w:val="0"/>
        <w:pageBreakBefore w:val="0"/>
        <w:widowControl w:val="0"/>
        <w:tabs>
          <w:tab w:val="left" w:pos="540"/>
        </w:tabs>
        <w:kinsoku/>
        <w:overflowPunct/>
        <w:topLinePunct w:val="0"/>
        <w:autoSpaceDN/>
        <w:bidi w:val="0"/>
        <w:spacing w:line="520" w:lineRule="exact"/>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乙方必须自觉</w:t>
      </w:r>
      <w:r>
        <w:rPr>
          <w:rFonts w:hint="eastAsia" w:ascii="宋体" w:hAnsi="宋体" w:eastAsia="宋体" w:cs="宋体"/>
          <w:color w:val="auto"/>
          <w:sz w:val="24"/>
          <w:szCs w:val="24"/>
          <w:highlight w:val="none"/>
          <w:lang w:val="en-US" w:eastAsia="zh-CN"/>
        </w:rPr>
        <w:t>遵守本协议全部义务，并</w:t>
      </w:r>
      <w:r>
        <w:rPr>
          <w:rFonts w:hint="eastAsia" w:ascii="宋体" w:hAnsi="宋体" w:eastAsia="宋体" w:cs="宋体"/>
          <w:color w:val="auto"/>
          <w:sz w:val="24"/>
          <w:szCs w:val="24"/>
          <w:highlight w:val="none"/>
        </w:rPr>
        <w:t>无条件做好安</w:t>
      </w:r>
      <w:r>
        <w:rPr>
          <w:rFonts w:hint="eastAsia" w:ascii="宋体" w:hAnsi="宋体" w:eastAsia="宋体" w:cs="宋体"/>
          <w:color w:val="auto"/>
          <w:sz w:val="24"/>
          <w:szCs w:val="24"/>
          <w:highlight w:val="none"/>
          <w:lang w:val="en-US" w:eastAsia="zh-CN"/>
        </w:rPr>
        <w:t>健环</w:t>
      </w:r>
      <w:r>
        <w:rPr>
          <w:rFonts w:hint="eastAsia" w:ascii="宋体" w:hAnsi="宋体" w:eastAsia="宋体" w:cs="宋体"/>
          <w:color w:val="auto"/>
          <w:sz w:val="24"/>
          <w:szCs w:val="24"/>
          <w:highlight w:val="none"/>
        </w:rPr>
        <w:t>管理工作。乙方已充分认识到并郑重承诺：乙方应对其安全无条件承担全部责任和义务；无论甲方对乙方的监督、检查、纠正、审查、培训、考核、</w:t>
      </w:r>
      <w:r>
        <w:rPr>
          <w:rFonts w:hint="eastAsia" w:ascii="宋体" w:hAnsi="宋体" w:eastAsia="宋体" w:cs="宋体"/>
          <w:color w:val="auto"/>
          <w:sz w:val="24"/>
          <w:szCs w:val="24"/>
          <w:highlight w:val="none"/>
          <w:lang w:eastAsia="zh-CN"/>
        </w:rPr>
        <w:t>建议</w:t>
      </w:r>
      <w:r>
        <w:rPr>
          <w:rFonts w:hint="eastAsia" w:ascii="宋体" w:hAnsi="宋体" w:eastAsia="宋体" w:cs="宋体"/>
          <w:color w:val="auto"/>
          <w:sz w:val="24"/>
          <w:szCs w:val="24"/>
          <w:highlight w:val="none"/>
        </w:rPr>
        <w:t>和协助等工作如何开展或开展是否全面，均不减轻或免除乙方安全管理的责任和义务，如有发生任何相关不良后果，由乙方</w:t>
      </w:r>
      <w:r>
        <w:rPr>
          <w:rFonts w:hint="eastAsia" w:ascii="宋体" w:hAnsi="宋体" w:eastAsia="宋体" w:cs="宋体"/>
          <w:color w:val="auto"/>
          <w:sz w:val="24"/>
          <w:szCs w:val="24"/>
          <w:highlight w:val="none"/>
          <w:lang w:val="en-US" w:eastAsia="zh-CN"/>
        </w:rPr>
        <w:t>全部</w:t>
      </w:r>
      <w:r>
        <w:rPr>
          <w:rFonts w:hint="eastAsia" w:ascii="宋体" w:hAnsi="宋体" w:eastAsia="宋体" w:cs="宋体"/>
          <w:color w:val="auto"/>
          <w:sz w:val="24"/>
          <w:szCs w:val="24"/>
          <w:highlight w:val="none"/>
        </w:rPr>
        <w:t>自行负责</w:t>
      </w:r>
      <w:r>
        <w:rPr>
          <w:rFonts w:hint="eastAsia" w:ascii="宋体" w:hAnsi="宋体" w:eastAsia="宋体" w:cs="宋体"/>
          <w:color w:val="auto"/>
          <w:sz w:val="24"/>
          <w:szCs w:val="24"/>
          <w:highlight w:val="none"/>
          <w:lang w:eastAsia="zh-CN"/>
        </w:rPr>
        <w:t>。</w:t>
      </w:r>
    </w:p>
    <w:p>
      <w:pPr>
        <w:keepNext w:val="0"/>
        <w:keepLines w:val="0"/>
        <w:pageBreakBefore w:val="0"/>
        <w:widowControl w:val="0"/>
        <w:tabs>
          <w:tab w:val="left" w:pos="540"/>
        </w:tabs>
        <w:kinsoku/>
        <w:overflowPunct/>
        <w:topLinePunct w:val="0"/>
        <w:autoSpaceDN/>
        <w:bidi w:val="0"/>
        <w:spacing w:line="520" w:lineRule="exact"/>
        <w:ind w:left="0" w:leftChars="0" w:firstLine="480" w:firstLineChars="200"/>
        <w:rPr>
          <w:rFonts w:hint="default"/>
          <w:b w:val="0"/>
          <w:sz w:val="24"/>
          <w:szCs w:val="24"/>
          <w:lang w:val="en-US" w:eastAsia="zh-CN"/>
        </w:rPr>
      </w:pPr>
      <w:r>
        <w:rPr>
          <w:rFonts w:hint="eastAsia" w:ascii="宋体" w:hAnsi="宋体" w:cs="宋体"/>
          <w:color w:val="auto"/>
          <w:sz w:val="24"/>
          <w:szCs w:val="24"/>
          <w:highlight w:val="none"/>
          <w:lang w:val="en-US" w:eastAsia="zh-CN"/>
        </w:rPr>
        <w:t>16.</w:t>
      </w:r>
      <w:r>
        <w:rPr>
          <w:rFonts w:hint="eastAsia"/>
          <w:sz w:val="24"/>
          <w:szCs w:val="24"/>
          <w:highlight w:val="none"/>
        </w:rPr>
        <w:t>其他未规定的事宜按照国家及行业相关规定执行。</w:t>
      </w:r>
    </w:p>
    <w:p>
      <w:pPr>
        <w:keepNext w:val="0"/>
        <w:keepLines w:val="0"/>
        <w:pageBreakBefore w:val="0"/>
        <w:widowControl w:val="0"/>
        <w:kinsoku/>
        <w:overflowPunct/>
        <w:topLinePunct w:val="0"/>
        <w:autoSpaceDN/>
        <w:bidi w:val="0"/>
        <w:spacing w:line="520" w:lineRule="exact"/>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条 安</w:t>
      </w:r>
      <w:r>
        <w:rPr>
          <w:rFonts w:hint="eastAsia" w:ascii="宋体" w:hAnsi="宋体" w:eastAsia="宋体" w:cs="宋体"/>
          <w:b/>
          <w:color w:val="auto"/>
          <w:sz w:val="24"/>
          <w:szCs w:val="24"/>
          <w:highlight w:val="none"/>
          <w:lang w:val="en-US" w:eastAsia="zh-CN"/>
        </w:rPr>
        <w:t>健环</w:t>
      </w:r>
      <w:r>
        <w:rPr>
          <w:rFonts w:hint="eastAsia" w:ascii="宋体" w:hAnsi="宋体" w:eastAsia="宋体" w:cs="宋体"/>
          <w:b/>
          <w:color w:val="auto"/>
          <w:sz w:val="24"/>
          <w:szCs w:val="24"/>
          <w:highlight w:val="none"/>
        </w:rPr>
        <w:t>管理及违约责任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.合同履行中，发现乙方提供的有关资质材料作假或无效，甲方有权解除合同，并由乙方承担由此造成的一切法律责任和经济损失。</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2</w:t>
      </w:r>
      <w:r>
        <w:rPr>
          <w:rFonts w:hint="eastAsia" w:ascii="宋体" w:hAnsi="宋体" w:eastAsia="宋体" w:cs="宋体"/>
          <w:color w:val="auto"/>
          <w:sz w:val="24"/>
          <w:szCs w:val="24"/>
          <w:highlight w:val="none"/>
          <w:lang w:val="en-US" w:eastAsia="zh-CN"/>
        </w:rPr>
        <w:t>.由于甲方或乙方过错造成对方或第三方的人身伤害、设备损坏等财产损失，由责任方承担相应责任，并赔偿对方或第三方因此造成的全部经济损失。</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3.因不可抗力因素造成的事故和损失，由受损方自行组织处理并承担相应的损失。</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4.乙方作业过程中，发生下列乙方责任的安全事故，按以下条款处罚</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 凡发生设备事故、火灾事故和环境污染事故视情节轻重按直接经济损失（包括被上级监管部门考核款项）的5-10%处罚。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 发生人身死亡事故，每人次处罚10万元。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 发生人身重伤事故，每人次处罚</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 发生人身轻伤事故，每人次处罚</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 在作业区内发生一般及以上交通事故，每人次或车次处罚1-5万元。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4.6 发生一类障碍、严重未遂，每次处罚</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4.7 发生二类障碍、一般未遂，每次处罚</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4.8 发生乙方责任事故，除按上述处罚外，乙方还应当承担由此事故造成的一切经济损失和赔偿责任。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4.9 上述处罚款项直接从合同款中扣除，不足部分由乙方法人单位支付。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5.乙方现场工作人员有违章违规行为的，按照《违章处罚条款》执行，未尽事项按甲方《安全生产工作奖惩办法》、《安全生产反违章管理制度》等规定中条款执行。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 甲方保留随时更新《安全生产工作奖惩办法》《安全生产反违章管理制度》等有关制度和规定的权力，乙方必须严格遵守并执行甲方新发布的有关制度和规定。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 若甲方发布的《安全生产工作奖惩办法》《安全生产反违章管理制度》等有关制度和规定与本协议有冲突，则以本协议内容为准。</w:t>
      </w:r>
    </w:p>
    <w:p>
      <w:pPr>
        <w:keepNext w:val="0"/>
        <w:keepLines w:val="0"/>
        <w:pageBreakBefore w:val="0"/>
        <w:widowControl w:val="0"/>
        <w:kinsoku/>
        <w:overflowPunct/>
        <w:topLinePunct w:val="0"/>
        <w:autoSpaceDN/>
        <w:bidi w:val="0"/>
        <w:spacing w:line="520" w:lineRule="exact"/>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 乙方接到罚款单的时间，按甲方开出该罚款单的落款时间为准,若乙方无故拒绝接收罚款单，除该项罚款继续有效外，每次另处罚款人民币2000元。</w:t>
      </w:r>
    </w:p>
    <w:p>
      <w:pPr>
        <w:keepNext w:val="0"/>
        <w:keepLines w:val="0"/>
        <w:pageBreakBefore w:val="0"/>
        <w:widowControl w:val="0"/>
        <w:kinsoku/>
        <w:overflowPunct/>
        <w:topLinePunct w:val="0"/>
        <w:autoSpaceDN/>
        <w:bidi w:val="0"/>
        <w:spacing w:line="520" w:lineRule="exact"/>
        <w:ind w:left="0" w:leftChars="0"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第六条 </w:t>
      </w:r>
      <w:r>
        <w:rPr>
          <w:rFonts w:hint="eastAsia" w:ascii="宋体" w:hAnsi="宋体" w:eastAsia="宋体" w:cs="宋体"/>
          <w:color w:val="auto"/>
          <w:sz w:val="24"/>
          <w:szCs w:val="24"/>
          <w:highlight w:val="none"/>
        </w:rPr>
        <w:t>甲乙双方必须严格执行本协议，不得违约；本协议与主合同具有同等法律效力；</w:t>
      </w:r>
      <w:r>
        <w:rPr>
          <w:rFonts w:hint="eastAsia" w:ascii="宋体" w:hAnsi="宋体" w:eastAsia="宋体" w:cs="宋体"/>
          <w:color w:val="auto"/>
          <w:sz w:val="24"/>
          <w:szCs w:val="24"/>
          <w:highlight w:val="none"/>
          <w:lang w:val="en-US" w:eastAsia="zh-CN"/>
        </w:rPr>
        <w:t>本</w:t>
      </w:r>
      <w:r>
        <w:rPr>
          <w:rFonts w:hint="eastAsia" w:ascii="宋体" w:hAnsi="宋体" w:eastAsia="宋体" w:cs="宋体"/>
          <w:bCs/>
          <w:color w:val="auto"/>
          <w:sz w:val="24"/>
          <w:szCs w:val="24"/>
          <w:highlight w:val="none"/>
        </w:rPr>
        <w:t>协议内容和主合同有</w:t>
      </w:r>
      <w:r>
        <w:rPr>
          <w:rFonts w:hint="eastAsia" w:ascii="宋体" w:hAnsi="宋体" w:eastAsia="宋体" w:cs="宋体"/>
          <w:color w:val="auto"/>
          <w:sz w:val="24"/>
          <w:szCs w:val="24"/>
          <w:highlight w:val="none"/>
        </w:rPr>
        <w:t>冲突的，则以</w:t>
      </w:r>
      <w:r>
        <w:rPr>
          <w:rFonts w:hint="eastAsia" w:ascii="宋体" w:hAnsi="宋体" w:eastAsia="宋体" w:cs="宋体"/>
          <w:bCs/>
          <w:color w:val="auto"/>
          <w:sz w:val="24"/>
          <w:szCs w:val="24"/>
          <w:highlight w:val="none"/>
        </w:rPr>
        <w:t>主合同</w:t>
      </w:r>
      <w:r>
        <w:rPr>
          <w:rFonts w:hint="eastAsia" w:ascii="宋体" w:hAnsi="宋体" w:eastAsia="宋体" w:cs="宋体"/>
          <w:color w:val="auto"/>
          <w:sz w:val="24"/>
          <w:szCs w:val="24"/>
          <w:highlight w:val="none"/>
        </w:rPr>
        <w:t>内容为准。</w:t>
      </w:r>
    </w:p>
    <w:p>
      <w:pPr>
        <w:keepNext w:val="0"/>
        <w:keepLines w:val="0"/>
        <w:pageBreakBefore w:val="0"/>
        <w:widowControl w:val="0"/>
        <w:kinsoku/>
        <w:overflowPunct/>
        <w:topLinePunct w:val="0"/>
        <w:autoSpaceDN/>
        <w:bidi w:val="0"/>
        <w:spacing w:line="360" w:lineRule="auto"/>
        <w:ind w:left="479" w:leftChars="228" w:firstLine="0" w:firstLineChars="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条</w:t>
      </w:r>
      <w:r>
        <w:rPr>
          <w:rFonts w:hint="eastAsia" w:ascii="宋体" w:hAnsi="宋体" w:eastAsia="宋体" w:cs="宋体"/>
          <w:color w:val="auto"/>
          <w:sz w:val="24"/>
          <w:szCs w:val="24"/>
          <w:highlight w:val="none"/>
        </w:rPr>
        <w:t xml:space="preserve"> 本协议书作为</w:t>
      </w:r>
      <w:r>
        <w:rPr>
          <w:rFonts w:hint="eastAsia" w:ascii="宋体" w:hAnsi="宋体" w:eastAsia="宋体" w:cs="宋体"/>
          <w:color w:val="auto"/>
          <w:sz w:val="24"/>
          <w:szCs w:val="24"/>
          <w:highlight w:val="none"/>
          <w:lang w:val="en-US" w:eastAsia="zh-CN"/>
        </w:rPr>
        <w:t>主</w:t>
      </w:r>
      <w:r>
        <w:rPr>
          <w:rFonts w:hint="eastAsia" w:ascii="宋体" w:hAnsi="宋体" w:eastAsia="宋体" w:cs="宋体"/>
          <w:color w:val="auto"/>
          <w:sz w:val="24"/>
          <w:szCs w:val="24"/>
          <w:highlight w:val="none"/>
        </w:rPr>
        <w:t>合同附件，自主合同签字盖章后同时生效。</w:t>
      </w:r>
      <w:r>
        <w:rPr>
          <w:rFonts w:hint="eastAsia" w:ascii="宋体" w:hAnsi="宋体" w:eastAsia="宋体" w:cs="宋体"/>
          <w:color w:val="auto"/>
          <w:sz w:val="24"/>
          <w:szCs w:val="24"/>
          <w:highlight w:val="none"/>
        </w:rPr>
        <w:br w:type="textWrapping"/>
      </w: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条</w:t>
      </w:r>
      <w:r>
        <w:rPr>
          <w:rFonts w:hint="eastAsia" w:ascii="宋体" w:hAnsi="宋体" w:eastAsia="宋体" w:cs="宋体"/>
          <w:color w:val="auto"/>
          <w:sz w:val="24"/>
          <w:szCs w:val="24"/>
          <w:highlight w:val="none"/>
        </w:rPr>
        <w:t xml:space="preserve"> 本协议一式</w:t>
      </w:r>
      <w:r>
        <w:rPr>
          <w:rFonts w:hint="eastAsia" w:ascii="宋体" w:hAnsi="宋体" w:eastAsia="宋体" w:cs="宋体"/>
          <w:color w:val="auto"/>
          <w:sz w:val="24"/>
          <w:szCs w:val="24"/>
          <w:highlight w:val="none"/>
          <w:u w:val="single"/>
          <w:lang w:val="en-US" w:eastAsia="zh-CN"/>
        </w:rPr>
        <w:t>陆</w:t>
      </w:r>
      <w:r>
        <w:rPr>
          <w:rFonts w:hint="eastAsia" w:ascii="宋体" w:hAnsi="宋体" w:eastAsia="宋体" w:cs="宋体"/>
          <w:color w:val="auto"/>
          <w:sz w:val="24"/>
          <w:szCs w:val="24"/>
          <w:highlight w:val="none"/>
        </w:rPr>
        <w:t>份，甲乙双方各执</w:t>
      </w:r>
      <w:r>
        <w:rPr>
          <w:rFonts w:hint="eastAsia" w:ascii="宋体" w:hAnsi="宋体" w:eastAsia="宋体" w:cs="宋体"/>
          <w:color w:val="auto"/>
          <w:sz w:val="24"/>
          <w:szCs w:val="24"/>
          <w:highlight w:val="none"/>
          <w:u w:val="single"/>
          <w:lang w:val="en-US" w:eastAsia="zh-CN"/>
        </w:rPr>
        <w:t>叁</w:t>
      </w:r>
      <w:r>
        <w:rPr>
          <w:rFonts w:hint="eastAsia" w:ascii="宋体" w:hAnsi="宋体" w:eastAsia="宋体" w:cs="宋体"/>
          <w:color w:val="auto"/>
          <w:sz w:val="24"/>
          <w:szCs w:val="24"/>
          <w:highlight w:val="none"/>
        </w:rPr>
        <w:t>份。</w:t>
      </w:r>
    </w:p>
    <w:p>
      <w:pPr>
        <w:pStyle w:val="19"/>
        <w:spacing w:line="360" w:lineRule="auto"/>
        <w:ind w:firstLine="481"/>
        <w:jc w:val="center"/>
        <w:rPr>
          <w:rFonts w:hint="eastAsia" w:ascii="宋体" w:hAnsi="宋体" w:eastAsia="宋体" w:cs="宋体"/>
          <w:bCs w:val="0"/>
          <w:color w:val="auto"/>
          <w:sz w:val="24"/>
          <w:szCs w:val="24"/>
          <w:highlight w:val="none"/>
          <w:lang w:val="en-US" w:eastAsia="zh-CN"/>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条</w:t>
      </w:r>
      <w:r>
        <w:rPr>
          <w:rFonts w:hint="eastAsia" w:ascii="宋体" w:hAnsi="宋体" w:eastAsia="宋体" w:cs="宋体"/>
          <w:bCs/>
          <w:color w:val="auto"/>
          <w:sz w:val="24"/>
          <w:szCs w:val="24"/>
          <w:highlight w:val="none"/>
        </w:rPr>
        <w:t xml:space="preserve"> </w:t>
      </w:r>
      <w:r>
        <w:rPr>
          <w:rFonts w:hint="eastAsia" w:ascii="宋体" w:hAnsi="宋体" w:eastAsia="宋体" w:cs="宋体"/>
          <w:bCs w:val="0"/>
          <w:color w:val="auto"/>
          <w:sz w:val="24"/>
          <w:szCs w:val="24"/>
          <w:highlight w:val="none"/>
          <w:lang w:val="en-US" w:eastAsia="zh-CN"/>
        </w:rPr>
        <w:t>本协议期限应与主合同期限一致。如果主合同因故变更期限，本协</w:t>
      </w:r>
    </w:p>
    <w:p>
      <w:pPr>
        <w:pStyle w:val="19"/>
        <w:spacing w:line="360" w:lineRule="auto"/>
        <w:ind w:firstLine="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议与主合同同步变更至相同期限</w:t>
      </w:r>
      <w:r>
        <w:rPr>
          <w:rFonts w:hint="eastAsia" w:ascii="宋体" w:hAnsi="宋体" w:eastAsia="宋体" w:cs="宋体"/>
          <w:color w:val="auto"/>
          <w:sz w:val="24"/>
          <w:szCs w:val="24"/>
          <w:highlight w:val="none"/>
          <w:lang w:val="en-US" w:eastAsia="zh-CN"/>
        </w:rPr>
        <w:t>。</w:t>
      </w:r>
    </w:p>
    <w:p>
      <w:pPr>
        <w:pStyle w:val="19"/>
        <w:spacing w:line="360" w:lineRule="auto"/>
        <w:ind w:firstLine="0"/>
        <w:jc w:val="both"/>
        <w:rPr>
          <w:rFonts w:hint="eastAsia" w:ascii="宋体" w:hAnsi="宋体" w:eastAsia="宋体" w:cs="宋体"/>
          <w:color w:val="auto"/>
          <w:sz w:val="24"/>
          <w:szCs w:val="24"/>
          <w:highlight w:val="none"/>
          <w:lang w:val="en-US" w:eastAsia="zh-CN"/>
        </w:rPr>
      </w:pPr>
    </w:p>
    <w:tbl>
      <w:tblPr>
        <w:tblStyle w:val="31"/>
        <w:tblW w:w="8522" w:type="dxa"/>
        <w:jc w:val="center"/>
        <w:tblInd w:w="0" w:type="dxa"/>
        <w:tblLayout w:type="fixed"/>
        <w:tblCellMar>
          <w:top w:w="0" w:type="dxa"/>
          <w:left w:w="108" w:type="dxa"/>
          <w:bottom w:w="0" w:type="dxa"/>
          <w:right w:w="108" w:type="dxa"/>
        </w:tblCellMar>
      </w:tblPr>
      <w:tblGrid>
        <w:gridCol w:w="4261"/>
        <w:gridCol w:w="4261"/>
      </w:tblGrid>
      <w:tr>
        <w:tblPrEx>
          <w:tblLayout w:type="fixed"/>
          <w:tblCellMar>
            <w:top w:w="0" w:type="dxa"/>
            <w:left w:w="108" w:type="dxa"/>
            <w:bottom w:w="0" w:type="dxa"/>
            <w:right w:w="108" w:type="dxa"/>
          </w:tblCellMar>
        </w:tblPrEx>
        <w:trPr>
          <w:trHeight w:val="1426" w:hRule="atLeast"/>
          <w:jc w:val="center"/>
        </w:trPr>
        <w:tc>
          <w:tcPr>
            <w:tcW w:w="4261" w:type="dxa"/>
            <w:shd w:val="clear" w:color="auto" w:fill="auto"/>
            <w:vAlign w:val="center"/>
          </w:tcPr>
          <w:p>
            <w:pPr>
              <w:widowControl/>
              <w:spacing w:line="360" w:lineRule="auto"/>
              <w:ind w:left="0" w:leftChars="0" w:firstLine="0" w:firstLineChars="0"/>
              <w:jc w:val="left"/>
              <w:rPr>
                <w:rFonts w:hint="eastAsia"/>
                <w:b/>
                <w:bCs/>
                <w:kern w:val="0"/>
                <w:sz w:val="24"/>
                <w:szCs w:val="18"/>
              </w:rPr>
            </w:pPr>
            <w:r>
              <w:rPr>
                <w:rFonts w:hint="eastAsia"/>
                <w:b/>
                <w:bCs/>
                <w:kern w:val="0"/>
                <w:sz w:val="24"/>
                <w:szCs w:val="18"/>
                <w:u w:val="single"/>
              </w:rPr>
              <w:t>甲方：福建省福能海峡发电有限公司</w:t>
            </w:r>
          </w:p>
        </w:tc>
        <w:tc>
          <w:tcPr>
            <w:tcW w:w="4261" w:type="dxa"/>
            <w:shd w:val="clear" w:color="auto" w:fill="auto"/>
            <w:vAlign w:val="center"/>
          </w:tcPr>
          <w:p>
            <w:pPr>
              <w:widowControl/>
              <w:spacing w:line="360" w:lineRule="auto"/>
              <w:ind w:left="0" w:leftChars="0" w:firstLine="0" w:firstLineChars="0"/>
              <w:jc w:val="left"/>
              <w:rPr>
                <w:rFonts w:hint="eastAsia"/>
                <w:b/>
                <w:bCs/>
                <w:kern w:val="0"/>
                <w:sz w:val="24"/>
                <w:szCs w:val="18"/>
              </w:rPr>
            </w:pPr>
            <w:r>
              <w:rPr>
                <w:rFonts w:hint="eastAsia"/>
                <w:b/>
                <w:bCs/>
                <w:kern w:val="0"/>
                <w:sz w:val="24"/>
                <w:szCs w:val="18"/>
                <w:u w:val="single"/>
              </w:rPr>
              <w:t>乙方：</w:t>
            </w:r>
          </w:p>
        </w:tc>
      </w:tr>
      <w:tr>
        <w:tblPrEx>
          <w:tblLayout w:type="fixed"/>
          <w:tblCellMar>
            <w:top w:w="0" w:type="dxa"/>
            <w:left w:w="108" w:type="dxa"/>
            <w:bottom w:w="0" w:type="dxa"/>
            <w:right w:w="108" w:type="dxa"/>
          </w:tblCellMar>
        </w:tblPrEx>
        <w:trPr>
          <w:trHeight w:val="2198" w:hRule="atLeast"/>
          <w:jc w:val="center"/>
        </w:trPr>
        <w:tc>
          <w:tcPr>
            <w:tcW w:w="4261" w:type="dxa"/>
            <w:shd w:val="clear" w:color="auto" w:fill="auto"/>
            <w:vAlign w:val="center"/>
          </w:tcPr>
          <w:p>
            <w:pPr>
              <w:widowControl/>
              <w:spacing w:line="360" w:lineRule="auto"/>
              <w:ind w:left="-2" w:leftChars="-1"/>
              <w:jc w:val="left"/>
              <w:rPr>
                <w:rFonts w:hint="eastAsia"/>
                <w:kern w:val="0"/>
                <w:sz w:val="24"/>
                <w:szCs w:val="18"/>
              </w:rPr>
            </w:pPr>
            <w:r>
              <w:rPr>
                <w:rFonts w:hint="eastAsia"/>
                <w:kern w:val="0"/>
                <w:sz w:val="24"/>
                <w:szCs w:val="18"/>
              </w:rPr>
              <w:t xml:space="preserve">法定代表人 </w:t>
            </w:r>
          </w:p>
          <w:p>
            <w:pPr>
              <w:widowControl/>
              <w:spacing w:line="360" w:lineRule="auto"/>
              <w:ind w:left="-2" w:leftChars="-1"/>
              <w:jc w:val="left"/>
              <w:rPr>
                <w:rFonts w:hint="eastAsia"/>
                <w:kern w:val="0"/>
                <w:sz w:val="24"/>
                <w:szCs w:val="18"/>
              </w:rPr>
            </w:pPr>
            <w:r>
              <w:rPr>
                <w:rFonts w:hint="eastAsia"/>
                <w:kern w:val="0"/>
                <w:sz w:val="24"/>
                <w:szCs w:val="18"/>
              </w:rPr>
              <w:t>或其委托代理人：</w:t>
            </w:r>
          </w:p>
        </w:tc>
        <w:tc>
          <w:tcPr>
            <w:tcW w:w="4261" w:type="dxa"/>
            <w:shd w:val="clear" w:color="auto" w:fill="auto"/>
            <w:vAlign w:val="center"/>
          </w:tcPr>
          <w:p>
            <w:pPr>
              <w:widowControl/>
              <w:spacing w:line="360" w:lineRule="auto"/>
              <w:ind w:left="-2" w:leftChars="-1"/>
              <w:jc w:val="left"/>
              <w:rPr>
                <w:rFonts w:hint="eastAsia"/>
                <w:kern w:val="0"/>
                <w:sz w:val="24"/>
                <w:szCs w:val="18"/>
              </w:rPr>
            </w:pPr>
            <w:r>
              <w:rPr>
                <w:rFonts w:hint="eastAsia"/>
                <w:kern w:val="0"/>
                <w:sz w:val="24"/>
                <w:szCs w:val="18"/>
              </w:rPr>
              <w:t xml:space="preserve">法定代表人 </w:t>
            </w:r>
          </w:p>
          <w:p>
            <w:pPr>
              <w:widowControl/>
              <w:spacing w:line="360" w:lineRule="auto"/>
              <w:ind w:left="-2" w:leftChars="-1"/>
              <w:jc w:val="left"/>
              <w:rPr>
                <w:rFonts w:hint="eastAsia"/>
                <w:kern w:val="0"/>
                <w:sz w:val="24"/>
                <w:szCs w:val="18"/>
              </w:rPr>
            </w:pPr>
            <w:r>
              <w:rPr>
                <w:rFonts w:hint="eastAsia"/>
                <w:kern w:val="0"/>
                <w:sz w:val="24"/>
                <w:szCs w:val="18"/>
              </w:rPr>
              <w:t>或其委托代理人：</w:t>
            </w:r>
          </w:p>
        </w:tc>
      </w:tr>
      <w:tr>
        <w:tblPrEx>
          <w:tblLayout w:type="fixed"/>
          <w:tblCellMar>
            <w:top w:w="0" w:type="dxa"/>
            <w:left w:w="108" w:type="dxa"/>
            <w:bottom w:w="0" w:type="dxa"/>
            <w:right w:w="108" w:type="dxa"/>
          </w:tblCellMar>
        </w:tblPrEx>
        <w:trPr>
          <w:trHeight w:val="635" w:hRule="atLeast"/>
          <w:jc w:val="center"/>
        </w:trPr>
        <w:tc>
          <w:tcPr>
            <w:tcW w:w="4261" w:type="dxa"/>
            <w:shd w:val="clear" w:color="auto" w:fill="auto"/>
            <w:vAlign w:val="center"/>
          </w:tcPr>
          <w:p>
            <w:pPr>
              <w:widowControl/>
              <w:spacing w:line="360" w:lineRule="auto"/>
              <w:ind w:left="-2" w:leftChars="-1"/>
              <w:jc w:val="left"/>
              <w:rPr>
                <w:rFonts w:hint="eastAsia"/>
                <w:kern w:val="0"/>
                <w:sz w:val="24"/>
                <w:szCs w:val="18"/>
              </w:rPr>
            </w:pPr>
          </w:p>
        </w:tc>
        <w:tc>
          <w:tcPr>
            <w:tcW w:w="4261" w:type="dxa"/>
            <w:shd w:val="clear" w:color="auto" w:fill="auto"/>
            <w:vAlign w:val="center"/>
          </w:tcPr>
          <w:p>
            <w:pPr>
              <w:widowControl/>
              <w:spacing w:line="360" w:lineRule="auto"/>
              <w:ind w:left="-2" w:leftChars="-1"/>
              <w:jc w:val="left"/>
              <w:rPr>
                <w:rFonts w:hint="eastAsia"/>
                <w:kern w:val="0"/>
                <w:sz w:val="24"/>
                <w:szCs w:val="18"/>
              </w:rPr>
            </w:pPr>
          </w:p>
        </w:tc>
      </w:tr>
      <w:tr>
        <w:tblPrEx>
          <w:tblLayout w:type="fixed"/>
          <w:tblCellMar>
            <w:top w:w="0" w:type="dxa"/>
            <w:left w:w="108" w:type="dxa"/>
            <w:bottom w:w="0" w:type="dxa"/>
            <w:right w:w="108" w:type="dxa"/>
          </w:tblCellMar>
        </w:tblPrEx>
        <w:trPr>
          <w:trHeight w:val="635" w:hRule="atLeast"/>
          <w:jc w:val="center"/>
        </w:trPr>
        <w:tc>
          <w:tcPr>
            <w:tcW w:w="4261" w:type="dxa"/>
            <w:shd w:val="clear" w:color="auto" w:fill="auto"/>
            <w:vAlign w:val="center"/>
          </w:tcPr>
          <w:p>
            <w:pPr>
              <w:widowControl/>
              <w:spacing w:line="360" w:lineRule="auto"/>
              <w:ind w:left="-2" w:leftChars="-1"/>
              <w:jc w:val="left"/>
              <w:rPr>
                <w:rFonts w:hint="eastAsia"/>
                <w:kern w:val="0"/>
                <w:sz w:val="24"/>
                <w:szCs w:val="18"/>
                <w:u w:val="single"/>
              </w:rPr>
            </w:pPr>
            <w:r>
              <w:rPr>
                <w:rFonts w:hint="eastAsia"/>
                <w:kern w:val="0"/>
                <w:sz w:val="24"/>
                <w:szCs w:val="18"/>
                <w:u w:val="single"/>
                <w:lang w:eastAsia="zh-CN"/>
              </w:rPr>
              <w:t>2025</w:t>
            </w:r>
            <w:r>
              <w:rPr>
                <w:rFonts w:hint="eastAsia"/>
                <w:kern w:val="0"/>
                <w:sz w:val="24"/>
                <w:szCs w:val="18"/>
                <w:u w:val="single"/>
              </w:rPr>
              <w:t>年</w:t>
            </w:r>
            <w:r>
              <w:rPr>
                <w:rFonts w:hint="eastAsia"/>
                <w:kern w:val="0"/>
                <w:sz w:val="24"/>
                <w:szCs w:val="18"/>
                <w:u w:val="single"/>
                <w:lang w:val="en-US" w:eastAsia="zh-CN"/>
              </w:rPr>
              <w:t xml:space="preserve"> </w:t>
            </w:r>
            <w:r>
              <w:rPr>
                <w:rFonts w:hint="eastAsia"/>
                <w:kern w:val="0"/>
                <w:sz w:val="24"/>
                <w:szCs w:val="18"/>
                <w:u w:val="single"/>
              </w:rPr>
              <w:t xml:space="preserve"> </w:t>
            </w:r>
            <w:r>
              <w:rPr>
                <w:rFonts w:hint="eastAsia"/>
                <w:kern w:val="0"/>
                <w:sz w:val="24"/>
                <w:szCs w:val="18"/>
                <w:u w:val="single"/>
                <w:lang w:val="en-US" w:eastAsia="zh-CN"/>
              </w:rPr>
              <w:t xml:space="preserve"> </w:t>
            </w:r>
            <w:r>
              <w:rPr>
                <w:rFonts w:hint="eastAsia"/>
                <w:kern w:val="0"/>
                <w:sz w:val="24"/>
                <w:szCs w:val="18"/>
                <w:u w:val="single"/>
              </w:rPr>
              <w:t xml:space="preserve">月 </w:t>
            </w:r>
            <w:r>
              <w:rPr>
                <w:rFonts w:hint="eastAsia"/>
                <w:kern w:val="0"/>
                <w:sz w:val="24"/>
                <w:szCs w:val="18"/>
                <w:u w:val="single"/>
                <w:lang w:val="en-US" w:eastAsia="zh-CN"/>
              </w:rPr>
              <w:t xml:space="preserve"> </w:t>
            </w:r>
            <w:r>
              <w:rPr>
                <w:rFonts w:hint="eastAsia"/>
                <w:kern w:val="0"/>
                <w:sz w:val="24"/>
                <w:szCs w:val="18"/>
                <w:u w:val="single"/>
              </w:rPr>
              <w:t xml:space="preserve"> 日</w:t>
            </w:r>
          </w:p>
        </w:tc>
        <w:tc>
          <w:tcPr>
            <w:tcW w:w="4261" w:type="dxa"/>
            <w:shd w:val="clear" w:color="auto" w:fill="auto"/>
            <w:vAlign w:val="center"/>
          </w:tcPr>
          <w:p>
            <w:pPr>
              <w:widowControl/>
              <w:spacing w:line="360" w:lineRule="auto"/>
              <w:ind w:left="-2" w:leftChars="-1"/>
              <w:jc w:val="left"/>
              <w:rPr>
                <w:rFonts w:hint="eastAsia"/>
                <w:kern w:val="0"/>
                <w:sz w:val="24"/>
                <w:szCs w:val="18"/>
                <w:u w:val="single"/>
              </w:rPr>
            </w:pPr>
            <w:r>
              <w:rPr>
                <w:rFonts w:hint="eastAsia"/>
                <w:kern w:val="0"/>
                <w:sz w:val="24"/>
                <w:szCs w:val="18"/>
                <w:u w:val="single"/>
                <w:lang w:eastAsia="zh-CN"/>
              </w:rPr>
              <w:t>2025</w:t>
            </w:r>
            <w:r>
              <w:rPr>
                <w:rFonts w:hint="eastAsia"/>
                <w:kern w:val="0"/>
                <w:sz w:val="24"/>
                <w:szCs w:val="18"/>
                <w:u w:val="single"/>
              </w:rPr>
              <w:t xml:space="preserve">年  </w:t>
            </w:r>
            <w:r>
              <w:rPr>
                <w:rFonts w:hint="eastAsia"/>
                <w:kern w:val="0"/>
                <w:sz w:val="24"/>
                <w:szCs w:val="18"/>
                <w:u w:val="single"/>
                <w:lang w:val="en-US" w:eastAsia="zh-CN"/>
              </w:rPr>
              <w:t xml:space="preserve"> </w:t>
            </w:r>
            <w:r>
              <w:rPr>
                <w:rFonts w:hint="eastAsia"/>
                <w:kern w:val="0"/>
                <w:sz w:val="24"/>
                <w:szCs w:val="18"/>
                <w:u w:val="single"/>
              </w:rPr>
              <w:t>月</w:t>
            </w:r>
            <w:r>
              <w:rPr>
                <w:rFonts w:hint="eastAsia"/>
                <w:kern w:val="0"/>
                <w:sz w:val="24"/>
                <w:szCs w:val="18"/>
                <w:u w:val="single"/>
                <w:lang w:val="en-US" w:eastAsia="zh-CN"/>
              </w:rPr>
              <w:t xml:space="preserve"> </w:t>
            </w:r>
            <w:r>
              <w:rPr>
                <w:rFonts w:hint="eastAsia"/>
                <w:kern w:val="0"/>
                <w:sz w:val="24"/>
                <w:szCs w:val="18"/>
                <w:u w:val="single"/>
              </w:rPr>
              <w:t xml:space="preserve">  日</w:t>
            </w:r>
          </w:p>
        </w:tc>
      </w:tr>
    </w:tbl>
    <w:p>
      <w:pPr>
        <w:pStyle w:val="19"/>
        <w:spacing w:line="360" w:lineRule="auto"/>
        <w:ind w:firstLine="0"/>
        <w:jc w:val="both"/>
        <w:rPr>
          <w:rFonts w:hint="eastAsia" w:ascii="宋体" w:hAnsi="宋体" w:eastAsia="宋体" w:cs="宋体"/>
          <w:color w:val="auto"/>
          <w:sz w:val="24"/>
          <w:szCs w:val="24"/>
          <w:highlight w:val="none"/>
          <w:lang w:val="en-US" w:eastAsia="zh-CN"/>
        </w:rPr>
      </w:pP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EU-F1">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Arial" w:hAnsi="Arial" w:eastAsia="Arial Unicode MS" w:cs="Arial"/>
        <w:sz w:val="21"/>
      </w:rPr>
    </w:pPr>
    <w:r>
      <w:rPr>
        <w:rFonts w:ascii="Arial" w:hAnsi="Arial" w:eastAsia="Arial Unicode MS" w:cs="Arial"/>
        <w:sz w:val="21"/>
      </w:rPr>
      <w:fldChar w:fldCharType="begin"/>
    </w:r>
    <w:r>
      <w:rPr>
        <w:rFonts w:ascii="Arial" w:hAnsi="Arial" w:eastAsia="Arial Unicode MS" w:cs="Arial"/>
        <w:sz w:val="21"/>
      </w:rPr>
      <w:instrText xml:space="preserve">PAGE   \* MERGEFORMAT</w:instrText>
    </w:r>
    <w:r>
      <w:rPr>
        <w:rFonts w:ascii="Arial" w:hAnsi="Arial" w:eastAsia="Arial Unicode MS" w:cs="Arial"/>
        <w:sz w:val="21"/>
      </w:rPr>
      <w:fldChar w:fldCharType="separate"/>
    </w:r>
    <w:r>
      <w:rPr>
        <w:rFonts w:ascii="Arial" w:hAnsi="Arial" w:eastAsia="Arial Unicode MS" w:cs="Arial"/>
        <w:sz w:val="21"/>
        <w:lang w:val="zh-CN"/>
      </w:rPr>
      <w:t>4</w:t>
    </w:r>
    <w:r>
      <w:rPr>
        <w:rFonts w:ascii="Arial" w:hAnsi="Arial" w:eastAsia="Arial Unicode MS" w:cs="Arial"/>
        <w:sz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sz w:val="21"/>
        <w:szCs w:val="21"/>
      </w:rPr>
    </w:pPr>
    <w:r>
      <w:rPr>
        <w:sz w:val="21"/>
        <w:szCs w:val="21"/>
      </w:rPr>
      <w:fldChar w:fldCharType="begin"/>
    </w:r>
    <w:r>
      <w:rPr>
        <w:rStyle w:val="30"/>
        <w:sz w:val="21"/>
        <w:szCs w:val="21"/>
      </w:rPr>
      <w:instrText xml:space="preserve">PAGE  </w:instrText>
    </w:r>
    <w:r>
      <w:rPr>
        <w:sz w:val="21"/>
        <w:szCs w:val="21"/>
      </w:rPr>
      <w:fldChar w:fldCharType="separate"/>
    </w:r>
    <w:r>
      <w:rPr>
        <w:rStyle w:val="30"/>
        <w:sz w:val="21"/>
        <w:szCs w:val="21"/>
      </w:rPr>
      <w:t>3</w:t>
    </w:r>
    <w:r>
      <w:rPr>
        <w:sz w:val="21"/>
        <w:szCs w:val="21"/>
      </w:rPr>
      <w:fldChar w:fldCharType="end"/>
    </w:r>
  </w:p>
  <w:p>
    <w:pPr>
      <w:pStyle w:val="19"/>
      <w:jc w:val="center"/>
      <w:rPr>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34BA40"/>
    <w:multiLevelType w:val="singleLevel"/>
    <w:tmpl w:val="9634BA40"/>
    <w:lvl w:ilvl="0" w:tentative="0">
      <w:start w:val="1"/>
      <w:numFmt w:val="decimal"/>
      <w:suff w:val="space"/>
      <w:lvlText w:val="（%1）"/>
      <w:lvlJc w:val="left"/>
    </w:lvl>
  </w:abstractNum>
  <w:abstractNum w:abstractNumId="1">
    <w:nsid w:val="EF9AAEE3"/>
    <w:multiLevelType w:val="singleLevel"/>
    <w:tmpl w:val="EF9AAEE3"/>
    <w:lvl w:ilvl="0" w:tentative="0">
      <w:start w:val="1"/>
      <w:numFmt w:val="chineseCounting"/>
      <w:suff w:val="nothing"/>
      <w:lvlText w:val="%1、"/>
      <w:lvlJc w:val="left"/>
      <w:rPr>
        <w:rFonts w:hint="eastAsia"/>
      </w:rPr>
    </w:lvl>
  </w:abstractNum>
  <w:abstractNum w:abstractNumId="2">
    <w:nsid w:val="018B52F6"/>
    <w:multiLevelType w:val="multilevel"/>
    <w:tmpl w:val="018B52F6"/>
    <w:lvl w:ilvl="0" w:tentative="0">
      <w:start w:val="1"/>
      <w:numFmt w:val="decimal"/>
      <w:suff w:val="space"/>
      <w:lvlText w:val="%1"/>
      <w:lvlJc w:val="left"/>
      <w:pPr>
        <w:ind w:left="432" w:hanging="432"/>
      </w:pPr>
      <w:rPr>
        <w:rFonts w:hint="default" w:ascii="Times New Roman" w:hAnsi="Times New Roman" w:eastAsia="宋体" w:cs="Arial"/>
        <w:sz w:val="28"/>
        <w:szCs w:val="28"/>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pStyle w:val="73"/>
      <w:suff w:val="space"/>
      <w:lvlText w:val="%1.%2.%3.%4"/>
      <w:lvlJc w:val="left"/>
      <w:pPr>
        <w:ind w:left="0" w:firstLine="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5A4723BD"/>
    <w:multiLevelType w:val="multilevel"/>
    <w:tmpl w:val="5A4723BD"/>
    <w:lvl w:ilvl="0" w:tentative="0">
      <w:start w:val="5"/>
      <w:numFmt w:val="decimal"/>
      <w:suff w:val="space"/>
      <w:lvlText w:val="附件%1 "/>
      <w:lvlJc w:val="left"/>
      <w:pPr>
        <w:ind w:left="0" w:firstLine="0"/>
      </w:pPr>
      <w:rPr>
        <w:rFonts w:hint="eastAsia"/>
      </w:rPr>
    </w:lvl>
    <w:lvl w:ilvl="1" w:tentative="0">
      <w:start w:val="1"/>
      <w:numFmt w:val="decimal"/>
      <w:suff w:val="nothing"/>
      <w:lvlText w:val="%1.%2"/>
      <w:lvlJc w:val="left"/>
      <w:pPr>
        <w:ind w:left="0" w:firstLine="0"/>
      </w:pPr>
      <w:rPr>
        <w:rFonts w:hint="eastAsia"/>
      </w:rPr>
    </w:lvl>
    <w:lvl w:ilvl="2" w:tentative="0">
      <w:start w:val="1"/>
      <w:numFmt w:val="decimal"/>
      <w:pStyle w:val="4"/>
      <w:suff w:val="space"/>
      <w:lvlText w:val="%1.%2.%3"/>
      <w:lvlJc w:val="left"/>
      <w:pPr>
        <w:ind w:left="284" w:firstLine="0"/>
      </w:pPr>
      <w:rPr>
        <w:rFonts w:hint="eastAsia"/>
        <w:lang w:val="en-US"/>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trackRevisions w:val="1"/>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wM2Q5ZGQ4N2RiMDZiNTVkMzA4Y2MxM2E0MWZlYWQifQ=="/>
  </w:docVars>
  <w:rsids>
    <w:rsidRoot w:val="45213328"/>
    <w:rsid w:val="00004AD2"/>
    <w:rsid w:val="00076473"/>
    <w:rsid w:val="000A1017"/>
    <w:rsid w:val="000C0A6F"/>
    <w:rsid w:val="000E36CE"/>
    <w:rsid w:val="00135DE7"/>
    <w:rsid w:val="001D16C6"/>
    <w:rsid w:val="00297BB0"/>
    <w:rsid w:val="002F36B8"/>
    <w:rsid w:val="00360653"/>
    <w:rsid w:val="003C51F6"/>
    <w:rsid w:val="00461895"/>
    <w:rsid w:val="00464310"/>
    <w:rsid w:val="004A6E18"/>
    <w:rsid w:val="00583196"/>
    <w:rsid w:val="00621012"/>
    <w:rsid w:val="006A6C79"/>
    <w:rsid w:val="006D4E5F"/>
    <w:rsid w:val="007040DD"/>
    <w:rsid w:val="007337AB"/>
    <w:rsid w:val="008478ED"/>
    <w:rsid w:val="00861DCB"/>
    <w:rsid w:val="008674ED"/>
    <w:rsid w:val="008E4CD8"/>
    <w:rsid w:val="009655D9"/>
    <w:rsid w:val="009B69DE"/>
    <w:rsid w:val="009F6CCD"/>
    <w:rsid w:val="00A4361E"/>
    <w:rsid w:val="00A712D1"/>
    <w:rsid w:val="00B714B6"/>
    <w:rsid w:val="00BB1923"/>
    <w:rsid w:val="00BC55A5"/>
    <w:rsid w:val="00C02B00"/>
    <w:rsid w:val="00C3517E"/>
    <w:rsid w:val="00C50099"/>
    <w:rsid w:val="00CB26D5"/>
    <w:rsid w:val="00CC28F0"/>
    <w:rsid w:val="00D50449"/>
    <w:rsid w:val="00D60613"/>
    <w:rsid w:val="00D60F4A"/>
    <w:rsid w:val="00D61613"/>
    <w:rsid w:val="00DC7AA0"/>
    <w:rsid w:val="00EA6A55"/>
    <w:rsid w:val="00EC0CDD"/>
    <w:rsid w:val="00EC5000"/>
    <w:rsid w:val="00EF056A"/>
    <w:rsid w:val="00F750E7"/>
    <w:rsid w:val="00FC5D59"/>
    <w:rsid w:val="012214DD"/>
    <w:rsid w:val="015D364C"/>
    <w:rsid w:val="026E5CBA"/>
    <w:rsid w:val="02845BF6"/>
    <w:rsid w:val="02A90ED7"/>
    <w:rsid w:val="03305DDA"/>
    <w:rsid w:val="03824290"/>
    <w:rsid w:val="03C34FD4"/>
    <w:rsid w:val="03DC2975"/>
    <w:rsid w:val="04422D3A"/>
    <w:rsid w:val="04DD3273"/>
    <w:rsid w:val="056E3B00"/>
    <w:rsid w:val="05A659A1"/>
    <w:rsid w:val="05B51886"/>
    <w:rsid w:val="05B53077"/>
    <w:rsid w:val="05C5188E"/>
    <w:rsid w:val="06002A5B"/>
    <w:rsid w:val="06424DB3"/>
    <w:rsid w:val="066673B4"/>
    <w:rsid w:val="0667141F"/>
    <w:rsid w:val="06767AD9"/>
    <w:rsid w:val="073566AD"/>
    <w:rsid w:val="074A5EF0"/>
    <w:rsid w:val="077977B1"/>
    <w:rsid w:val="077F44F7"/>
    <w:rsid w:val="079E0D45"/>
    <w:rsid w:val="07E275DD"/>
    <w:rsid w:val="07E54512"/>
    <w:rsid w:val="07FB50B6"/>
    <w:rsid w:val="08104E1B"/>
    <w:rsid w:val="081F0329"/>
    <w:rsid w:val="08341551"/>
    <w:rsid w:val="087E005A"/>
    <w:rsid w:val="08FD6927"/>
    <w:rsid w:val="094E15E0"/>
    <w:rsid w:val="09601386"/>
    <w:rsid w:val="097374D3"/>
    <w:rsid w:val="09B275BD"/>
    <w:rsid w:val="09BC69BD"/>
    <w:rsid w:val="09E56463"/>
    <w:rsid w:val="0A411AA9"/>
    <w:rsid w:val="0A6C711B"/>
    <w:rsid w:val="0A954288"/>
    <w:rsid w:val="0A977B6B"/>
    <w:rsid w:val="0AA01CBB"/>
    <w:rsid w:val="0ABF5013"/>
    <w:rsid w:val="0AF55A82"/>
    <w:rsid w:val="0B0B1136"/>
    <w:rsid w:val="0B1B2492"/>
    <w:rsid w:val="0B544C10"/>
    <w:rsid w:val="0B8B3EA8"/>
    <w:rsid w:val="0BB36E87"/>
    <w:rsid w:val="0BBC2FA3"/>
    <w:rsid w:val="0BDC6788"/>
    <w:rsid w:val="0BDF518A"/>
    <w:rsid w:val="0BE15184"/>
    <w:rsid w:val="0C5C0185"/>
    <w:rsid w:val="0CB801AC"/>
    <w:rsid w:val="0CBF06FD"/>
    <w:rsid w:val="0CC462E3"/>
    <w:rsid w:val="0D49540B"/>
    <w:rsid w:val="0D4C6619"/>
    <w:rsid w:val="0DC31079"/>
    <w:rsid w:val="0DD31D0D"/>
    <w:rsid w:val="0DD63D0F"/>
    <w:rsid w:val="0E495B29"/>
    <w:rsid w:val="0EDB206A"/>
    <w:rsid w:val="0F287823"/>
    <w:rsid w:val="0F3B5F5C"/>
    <w:rsid w:val="0F5F19ED"/>
    <w:rsid w:val="0F8961F2"/>
    <w:rsid w:val="0FB23554"/>
    <w:rsid w:val="0FBA2C19"/>
    <w:rsid w:val="10534BBC"/>
    <w:rsid w:val="10846531"/>
    <w:rsid w:val="1095750F"/>
    <w:rsid w:val="10A15370"/>
    <w:rsid w:val="10E319C6"/>
    <w:rsid w:val="11282194"/>
    <w:rsid w:val="11592CFD"/>
    <w:rsid w:val="118D196C"/>
    <w:rsid w:val="11DF15AA"/>
    <w:rsid w:val="11EA1D31"/>
    <w:rsid w:val="125C1479"/>
    <w:rsid w:val="12B11DD2"/>
    <w:rsid w:val="130E4F53"/>
    <w:rsid w:val="1348426A"/>
    <w:rsid w:val="13655E17"/>
    <w:rsid w:val="139B04E2"/>
    <w:rsid w:val="13C66CAA"/>
    <w:rsid w:val="13C776AE"/>
    <w:rsid w:val="13D21B11"/>
    <w:rsid w:val="13E41A69"/>
    <w:rsid w:val="141867D5"/>
    <w:rsid w:val="144C6C25"/>
    <w:rsid w:val="147F3ED1"/>
    <w:rsid w:val="14967AA9"/>
    <w:rsid w:val="14AA6385"/>
    <w:rsid w:val="14DE54E1"/>
    <w:rsid w:val="15055D9A"/>
    <w:rsid w:val="151013C1"/>
    <w:rsid w:val="15253830"/>
    <w:rsid w:val="15341F17"/>
    <w:rsid w:val="156676D9"/>
    <w:rsid w:val="156C1DE7"/>
    <w:rsid w:val="15A63864"/>
    <w:rsid w:val="15AC0D87"/>
    <w:rsid w:val="15AD20EF"/>
    <w:rsid w:val="15E3049F"/>
    <w:rsid w:val="16594922"/>
    <w:rsid w:val="16BB799E"/>
    <w:rsid w:val="173717DB"/>
    <w:rsid w:val="17954579"/>
    <w:rsid w:val="17D52975"/>
    <w:rsid w:val="184D021E"/>
    <w:rsid w:val="18623435"/>
    <w:rsid w:val="18647688"/>
    <w:rsid w:val="191F70FA"/>
    <w:rsid w:val="192413C8"/>
    <w:rsid w:val="194B7CB5"/>
    <w:rsid w:val="19A47CC1"/>
    <w:rsid w:val="1A805DFB"/>
    <w:rsid w:val="1AB96D3E"/>
    <w:rsid w:val="1B2F3692"/>
    <w:rsid w:val="1B3F466A"/>
    <w:rsid w:val="1B67458E"/>
    <w:rsid w:val="1BD90E93"/>
    <w:rsid w:val="1C2A531B"/>
    <w:rsid w:val="1C355902"/>
    <w:rsid w:val="1C567275"/>
    <w:rsid w:val="1C7108A3"/>
    <w:rsid w:val="1C8A41ED"/>
    <w:rsid w:val="1C922CB5"/>
    <w:rsid w:val="1CC35488"/>
    <w:rsid w:val="1CC521C1"/>
    <w:rsid w:val="1D2829D6"/>
    <w:rsid w:val="1D320830"/>
    <w:rsid w:val="1D3A069D"/>
    <w:rsid w:val="1D3B710E"/>
    <w:rsid w:val="1D533B55"/>
    <w:rsid w:val="1DDA73E5"/>
    <w:rsid w:val="1DFA3EED"/>
    <w:rsid w:val="1E115FF8"/>
    <w:rsid w:val="1E45250C"/>
    <w:rsid w:val="1E7737A8"/>
    <w:rsid w:val="1E793ADD"/>
    <w:rsid w:val="1EA87087"/>
    <w:rsid w:val="1EDD6925"/>
    <w:rsid w:val="1EFE0A46"/>
    <w:rsid w:val="1F1505B1"/>
    <w:rsid w:val="1F1F1CF5"/>
    <w:rsid w:val="1F422155"/>
    <w:rsid w:val="1FA668DB"/>
    <w:rsid w:val="1FE0690D"/>
    <w:rsid w:val="1FE92BA0"/>
    <w:rsid w:val="206B7DF1"/>
    <w:rsid w:val="20726A99"/>
    <w:rsid w:val="20727E98"/>
    <w:rsid w:val="207E0312"/>
    <w:rsid w:val="20BE5BD1"/>
    <w:rsid w:val="217B381F"/>
    <w:rsid w:val="21894E00"/>
    <w:rsid w:val="21AE6F88"/>
    <w:rsid w:val="21BB69DF"/>
    <w:rsid w:val="21D26D6E"/>
    <w:rsid w:val="221E4CC0"/>
    <w:rsid w:val="225B5B88"/>
    <w:rsid w:val="22687FA4"/>
    <w:rsid w:val="22873F16"/>
    <w:rsid w:val="22B01E05"/>
    <w:rsid w:val="22ED6F7D"/>
    <w:rsid w:val="230C2B5E"/>
    <w:rsid w:val="23153933"/>
    <w:rsid w:val="231F6EFE"/>
    <w:rsid w:val="233B3CCC"/>
    <w:rsid w:val="234032AE"/>
    <w:rsid w:val="235F33D3"/>
    <w:rsid w:val="236E3326"/>
    <w:rsid w:val="23CD586C"/>
    <w:rsid w:val="23D8267C"/>
    <w:rsid w:val="23FC5A86"/>
    <w:rsid w:val="23FE0963"/>
    <w:rsid w:val="24143E59"/>
    <w:rsid w:val="24371236"/>
    <w:rsid w:val="25247E66"/>
    <w:rsid w:val="25506C57"/>
    <w:rsid w:val="257B0FDB"/>
    <w:rsid w:val="25EA36D7"/>
    <w:rsid w:val="25EB0F81"/>
    <w:rsid w:val="25F16950"/>
    <w:rsid w:val="260C144E"/>
    <w:rsid w:val="262653DA"/>
    <w:rsid w:val="26472AB5"/>
    <w:rsid w:val="265560B7"/>
    <w:rsid w:val="268F3421"/>
    <w:rsid w:val="26E50EC1"/>
    <w:rsid w:val="26E649A4"/>
    <w:rsid w:val="271F632B"/>
    <w:rsid w:val="2749575A"/>
    <w:rsid w:val="27BD7396"/>
    <w:rsid w:val="27D47682"/>
    <w:rsid w:val="28447409"/>
    <w:rsid w:val="2878211F"/>
    <w:rsid w:val="28850843"/>
    <w:rsid w:val="28C733FF"/>
    <w:rsid w:val="28DD5BEB"/>
    <w:rsid w:val="28F0430C"/>
    <w:rsid w:val="291F1299"/>
    <w:rsid w:val="29432EEF"/>
    <w:rsid w:val="29591824"/>
    <w:rsid w:val="296937E9"/>
    <w:rsid w:val="29837347"/>
    <w:rsid w:val="29A97495"/>
    <w:rsid w:val="29FB5464"/>
    <w:rsid w:val="2A103C7F"/>
    <w:rsid w:val="2A303EA5"/>
    <w:rsid w:val="2A6442EA"/>
    <w:rsid w:val="2A72526D"/>
    <w:rsid w:val="2B0E5E8F"/>
    <w:rsid w:val="2B4075D6"/>
    <w:rsid w:val="2C11407C"/>
    <w:rsid w:val="2C62444F"/>
    <w:rsid w:val="2CDA5250"/>
    <w:rsid w:val="2CEC7C27"/>
    <w:rsid w:val="2D1C5CE1"/>
    <w:rsid w:val="2D28573A"/>
    <w:rsid w:val="2D2C6A69"/>
    <w:rsid w:val="2DAF10A2"/>
    <w:rsid w:val="2E5249C7"/>
    <w:rsid w:val="2EC61AD6"/>
    <w:rsid w:val="2ECB32E0"/>
    <w:rsid w:val="2ED87D96"/>
    <w:rsid w:val="2EE908C2"/>
    <w:rsid w:val="2F111751"/>
    <w:rsid w:val="2F222228"/>
    <w:rsid w:val="2F2F3B25"/>
    <w:rsid w:val="2F313A82"/>
    <w:rsid w:val="2F3E5629"/>
    <w:rsid w:val="2F4A26C5"/>
    <w:rsid w:val="2F51715D"/>
    <w:rsid w:val="2FD94AC2"/>
    <w:rsid w:val="301E1919"/>
    <w:rsid w:val="302C2D37"/>
    <w:rsid w:val="3059507D"/>
    <w:rsid w:val="305C1AAB"/>
    <w:rsid w:val="3063723E"/>
    <w:rsid w:val="30D83268"/>
    <w:rsid w:val="30E43C4F"/>
    <w:rsid w:val="31476113"/>
    <w:rsid w:val="31510C9C"/>
    <w:rsid w:val="3238699A"/>
    <w:rsid w:val="32585E3D"/>
    <w:rsid w:val="332A26FF"/>
    <w:rsid w:val="33311D1E"/>
    <w:rsid w:val="33A26F8A"/>
    <w:rsid w:val="33A45380"/>
    <w:rsid w:val="33C1279A"/>
    <w:rsid w:val="33F30410"/>
    <w:rsid w:val="34517165"/>
    <w:rsid w:val="346E127B"/>
    <w:rsid w:val="3495769B"/>
    <w:rsid w:val="34CB4FAE"/>
    <w:rsid w:val="350913DA"/>
    <w:rsid w:val="35401785"/>
    <w:rsid w:val="35577297"/>
    <w:rsid w:val="356C4868"/>
    <w:rsid w:val="356E7B1D"/>
    <w:rsid w:val="357745C3"/>
    <w:rsid w:val="360B2A86"/>
    <w:rsid w:val="361F22F4"/>
    <w:rsid w:val="36242AE1"/>
    <w:rsid w:val="364032F1"/>
    <w:rsid w:val="3668711C"/>
    <w:rsid w:val="367D2437"/>
    <w:rsid w:val="36D545B9"/>
    <w:rsid w:val="36FE6214"/>
    <w:rsid w:val="370222A3"/>
    <w:rsid w:val="371B3A4B"/>
    <w:rsid w:val="373648D2"/>
    <w:rsid w:val="37772801"/>
    <w:rsid w:val="38070D39"/>
    <w:rsid w:val="38D26AC1"/>
    <w:rsid w:val="38E415E5"/>
    <w:rsid w:val="38F02971"/>
    <w:rsid w:val="38FE59DE"/>
    <w:rsid w:val="390A417C"/>
    <w:rsid w:val="390E3D66"/>
    <w:rsid w:val="391F2F84"/>
    <w:rsid w:val="39CC7E18"/>
    <w:rsid w:val="3A173661"/>
    <w:rsid w:val="3A2C0B7D"/>
    <w:rsid w:val="3A2D4D68"/>
    <w:rsid w:val="3A5A10FB"/>
    <w:rsid w:val="3A9927A5"/>
    <w:rsid w:val="3AA548E4"/>
    <w:rsid w:val="3AD9054C"/>
    <w:rsid w:val="3AF863CF"/>
    <w:rsid w:val="3B0B1E22"/>
    <w:rsid w:val="3B1F330D"/>
    <w:rsid w:val="3B310766"/>
    <w:rsid w:val="3B383BE7"/>
    <w:rsid w:val="3B644518"/>
    <w:rsid w:val="3BAC75A4"/>
    <w:rsid w:val="3BD91102"/>
    <w:rsid w:val="3BE40CA5"/>
    <w:rsid w:val="3BF0024E"/>
    <w:rsid w:val="3C004CAB"/>
    <w:rsid w:val="3C5F6572"/>
    <w:rsid w:val="3C6B5074"/>
    <w:rsid w:val="3C6C5651"/>
    <w:rsid w:val="3CAF1D9F"/>
    <w:rsid w:val="3CD17054"/>
    <w:rsid w:val="3D1678D3"/>
    <w:rsid w:val="3DBD4477"/>
    <w:rsid w:val="3DCC6043"/>
    <w:rsid w:val="3E016243"/>
    <w:rsid w:val="3E8D6516"/>
    <w:rsid w:val="3EB21D22"/>
    <w:rsid w:val="3EC601FA"/>
    <w:rsid w:val="3ECB5595"/>
    <w:rsid w:val="3F554B3F"/>
    <w:rsid w:val="3F594BA5"/>
    <w:rsid w:val="3F797042"/>
    <w:rsid w:val="3F8D79BF"/>
    <w:rsid w:val="3FD24C34"/>
    <w:rsid w:val="40070BAB"/>
    <w:rsid w:val="40082D2B"/>
    <w:rsid w:val="40175292"/>
    <w:rsid w:val="402E5071"/>
    <w:rsid w:val="403D28E1"/>
    <w:rsid w:val="406E373F"/>
    <w:rsid w:val="40901F25"/>
    <w:rsid w:val="40C13432"/>
    <w:rsid w:val="40D224F4"/>
    <w:rsid w:val="40D564CB"/>
    <w:rsid w:val="412934A3"/>
    <w:rsid w:val="41395370"/>
    <w:rsid w:val="41437E57"/>
    <w:rsid w:val="41CB16D7"/>
    <w:rsid w:val="41E679D8"/>
    <w:rsid w:val="42351F9F"/>
    <w:rsid w:val="423E366B"/>
    <w:rsid w:val="424F693F"/>
    <w:rsid w:val="42EF0610"/>
    <w:rsid w:val="42F46252"/>
    <w:rsid w:val="435D173E"/>
    <w:rsid w:val="435F2B53"/>
    <w:rsid w:val="43BE66B4"/>
    <w:rsid w:val="44297C68"/>
    <w:rsid w:val="442E30FD"/>
    <w:rsid w:val="445A2878"/>
    <w:rsid w:val="446031C7"/>
    <w:rsid w:val="44667DD1"/>
    <w:rsid w:val="449643A1"/>
    <w:rsid w:val="44CB0EE8"/>
    <w:rsid w:val="44D24662"/>
    <w:rsid w:val="450A09F3"/>
    <w:rsid w:val="45213328"/>
    <w:rsid w:val="45E12964"/>
    <w:rsid w:val="45F95437"/>
    <w:rsid w:val="45FB6802"/>
    <w:rsid w:val="4712691C"/>
    <w:rsid w:val="47550BAF"/>
    <w:rsid w:val="47665118"/>
    <w:rsid w:val="47DB1A91"/>
    <w:rsid w:val="47E673C7"/>
    <w:rsid w:val="48212FEC"/>
    <w:rsid w:val="482A61B3"/>
    <w:rsid w:val="482E5D60"/>
    <w:rsid w:val="484F099F"/>
    <w:rsid w:val="48755FDB"/>
    <w:rsid w:val="48D32E2E"/>
    <w:rsid w:val="49004F71"/>
    <w:rsid w:val="49955610"/>
    <w:rsid w:val="499972E2"/>
    <w:rsid w:val="49A11EF7"/>
    <w:rsid w:val="49B31AE6"/>
    <w:rsid w:val="49F63F82"/>
    <w:rsid w:val="4A0E37A4"/>
    <w:rsid w:val="4A92409C"/>
    <w:rsid w:val="4AEB3DA1"/>
    <w:rsid w:val="4AEF63B5"/>
    <w:rsid w:val="4B100EF6"/>
    <w:rsid w:val="4B1C0B69"/>
    <w:rsid w:val="4B307B32"/>
    <w:rsid w:val="4B7C0623"/>
    <w:rsid w:val="4B7C2968"/>
    <w:rsid w:val="4B990CBA"/>
    <w:rsid w:val="4BAC7F6B"/>
    <w:rsid w:val="4C336A72"/>
    <w:rsid w:val="4C3F54EA"/>
    <w:rsid w:val="4C533289"/>
    <w:rsid w:val="4C7C2B47"/>
    <w:rsid w:val="4C8142E9"/>
    <w:rsid w:val="4C90180F"/>
    <w:rsid w:val="4CA71016"/>
    <w:rsid w:val="4D405172"/>
    <w:rsid w:val="4D953D45"/>
    <w:rsid w:val="4DCB3AFF"/>
    <w:rsid w:val="4E006FEB"/>
    <w:rsid w:val="4E013EAA"/>
    <w:rsid w:val="4E3C3706"/>
    <w:rsid w:val="4E545553"/>
    <w:rsid w:val="4EAD6D9C"/>
    <w:rsid w:val="4EEB600F"/>
    <w:rsid w:val="4EF664E5"/>
    <w:rsid w:val="4F086B91"/>
    <w:rsid w:val="4F5C0871"/>
    <w:rsid w:val="4FB11002"/>
    <w:rsid w:val="4FF72B34"/>
    <w:rsid w:val="50131D04"/>
    <w:rsid w:val="507954A0"/>
    <w:rsid w:val="509D6EF3"/>
    <w:rsid w:val="50F7525C"/>
    <w:rsid w:val="51295717"/>
    <w:rsid w:val="51357C3A"/>
    <w:rsid w:val="517B50CD"/>
    <w:rsid w:val="51A16C83"/>
    <w:rsid w:val="51AD16D4"/>
    <w:rsid w:val="521B3CFD"/>
    <w:rsid w:val="522A3C58"/>
    <w:rsid w:val="523C5D01"/>
    <w:rsid w:val="52B469B4"/>
    <w:rsid w:val="530D6275"/>
    <w:rsid w:val="532028C0"/>
    <w:rsid w:val="53211658"/>
    <w:rsid w:val="53346CAF"/>
    <w:rsid w:val="53BC2C40"/>
    <w:rsid w:val="53C02462"/>
    <w:rsid w:val="53C126F8"/>
    <w:rsid w:val="53D903A0"/>
    <w:rsid w:val="54045841"/>
    <w:rsid w:val="54080F33"/>
    <w:rsid w:val="54215F18"/>
    <w:rsid w:val="54613836"/>
    <w:rsid w:val="546645D4"/>
    <w:rsid w:val="548A5166"/>
    <w:rsid w:val="54CD39E3"/>
    <w:rsid w:val="552632A5"/>
    <w:rsid w:val="55717FCB"/>
    <w:rsid w:val="557966AA"/>
    <w:rsid w:val="557B4484"/>
    <w:rsid w:val="559B37E3"/>
    <w:rsid w:val="56547866"/>
    <w:rsid w:val="565913B2"/>
    <w:rsid w:val="566C1929"/>
    <w:rsid w:val="56796D33"/>
    <w:rsid w:val="56B05008"/>
    <w:rsid w:val="56B67BA3"/>
    <w:rsid w:val="56E30420"/>
    <w:rsid w:val="56E73DD7"/>
    <w:rsid w:val="570D602A"/>
    <w:rsid w:val="57B15860"/>
    <w:rsid w:val="57BE1A13"/>
    <w:rsid w:val="57BE5BB7"/>
    <w:rsid w:val="57EC40A2"/>
    <w:rsid w:val="57FE3409"/>
    <w:rsid w:val="58294249"/>
    <w:rsid w:val="583B364F"/>
    <w:rsid w:val="584B2C67"/>
    <w:rsid w:val="5852043F"/>
    <w:rsid w:val="5854223D"/>
    <w:rsid w:val="58AF6A41"/>
    <w:rsid w:val="58BD7075"/>
    <w:rsid w:val="592857E6"/>
    <w:rsid w:val="59335F2E"/>
    <w:rsid w:val="593E265A"/>
    <w:rsid w:val="59A32DBF"/>
    <w:rsid w:val="59BC4980"/>
    <w:rsid w:val="59C56B90"/>
    <w:rsid w:val="5A012E4E"/>
    <w:rsid w:val="5A735617"/>
    <w:rsid w:val="5A7F3550"/>
    <w:rsid w:val="5ACE1E70"/>
    <w:rsid w:val="5B3F2AF3"/>
    <w:rsid w:val="5B6C0581"/>
    <w:rsid w:val="5B8861DB"/>
    <w:rsid w:val="5BA7356D"/>
    <w:rsid w:val="5C813079"/>
    <w:rsid w:val="5C9A3AB7"/>
    <w:rsid w:val="5D384CA7"/>
    <w:rsid w:val="5D5C44EC"/>
    <w:rsid w:val="5D5D1599"/>
    <w:rsid w:val="5DAA1DAA"/>
    <w:rsid w:val="5DAC63E7"/>
    <w:rsid w:val="5DC41AD2"/>
    <w:rsid w:val="5DC96A5E"/>
    <w:rsid w:val="5DF06795"/>
    <w:rsid w:val="5E5F5C54"/>
    <w:rsid w:val="5EA25798"/>
    <w:rsid w:val="5EBA21F0"/>
    <w:rsid w:val="5EE13801"/>
    <w:rsid w:val="5F254015"/>
    <w:rsid w:val="5F3250C6"/>
    <w:rsid w:val="5F6154BC"/>
    <w:rsid w:val="5F747132"/>
    <w:rsid w:val="5FB2562C"/>
    <w:rsid w:val="5FB7255D"/>
    <w:rsid w:val="5FBB3E32"/>
    <w:rsid w:val="5FC232AA"/>
    <w:rsid w:val="60165CC8"/>
    <w:rsid w:val="60283F9A"/>
    <w:rsid w:val="60411AF0"/>
    <w:rsid w:val="60537FF8"/>
    <w:rsid w:val="60765719"/>
    <w:rsid w:val="611256A8"/>
    <w:rsid w:val="613A6042"/>
    <w:rsid w:val="618D5283"/>
    <w:rsid w:val="61990386"/>
    <w:rsid w:val="61A305DB"/>
    <w:rsid w:val="61A47810"/>
    <w:rsid w:val="61E97A78"/>
    <w:rsid w:val="62037E05"/>
    <w:rsid w:val="62154CB0"/>
    <w:rsid w:val="624A26E7"/>
    <w:rsid w:val="62A6503F"/>
    <w:rsid w:val="62DB16E4"/>
    <w:rsid w:val="62E6283F"/>
    <w:rsid w:val="62FD1B79"/>
    <w:rsid w:val="63AE4945"/>
    <w:rsid w:val="63B6465E"/>
    <w:rsid w:val="63B83212"/>
    <w:rsid w:val="63E93509"/>
    <w:rsid w:val="63F43EB8"/>
    <w:rsid w:val="642F60F7"/>
    <w:rsid w:val="64E0770E"/>
    <w:rsid w:val="65374B34"/>
    <w:rsid w:val="656303D9"/>
    <w:rsid w:val="65713165"/>
    <w:rsid w:val="65C84ED8"/>
    <w:rsid w:val="66301F89"/>
    <w:rsid w:val="6632327D"/>
    <w:rsid w:val="663D2B6B"/>
    <w:rsid w:val="664C43C7"/>
    <w:rsid w:val="66E638F3"/>
    <w:rsid w:val="66E872B1"/>
    <w:rsid w:val="676B2279"/>
    <w:rsid w:val="677867CB"/>
    <w:rsid w:val="678260A0"/>
    <w:rsid w:val="67C55D3A"/>
    <w:rsid w:val="67EE2B78"/>
    <w:rsid w:val="681533A9"/>
    <w:rsid w:val="681E3C89"/>
    <w:rsid w:val="685E5187"/>
    <w:rsid w:val="68843BED"/>
    <w:rsid w:val="68C05786"/>
    <w:rsid w:val="68DE1ADD"/>
    <w:rsid w:val="69223387"/>
    <w:rsid w:val="69841329"/>
    <w:rsid w:val="69BF4227"/>
    <w:rsid w:val="69CC3E94"/>
    <w:rsid w:val="69E614C1"/>
    <w:rsid w:val="6A611B51"/>
    <w:rsid w:val="6A8A4AC5"/>
    <w:rsid w:val="6AAA31B7"/>
    <w:rsid w:val="6AE756D2"/>
    <w:rsid w:val="6B2205B8"/>
    <w:rsid w:val="6B2D67E2"/>
    <w:rsid w:val="6B347D05"/>
    <w:rsid w:val="6B6E3786"/>
    <w:rsid w:val="6BA10347"/>
    <w:rsid w:val="6BBB1ECA"/>
    <w:rsid w:val="6CCD4B80"/>
    <w:rsid w:val="6CCE499B"/>
    <w:rsid w:val="6CD26475"/>
    <w:rsid w:val="6CDA5C23"/>
    <w:rsid w:val="6CDE61E5"/>
    <w:rsid w:val="6D5C50EF"/>
    <w:rsid w:val="6D661F24"/>
    <w:rsid w:val="6D6C6268"/>
    <w:rsid w:val="6D8C50ED"/>
    <w:rsid w:val="6DF367EA"/>
    <w:rsid w:val="6E1E5370"/>
    <w:rsid w:val="6E3A5E1D"/>
    <w:rsid w:val="6E3C16F0"/>
    <w:rsid w:val="6E435A5F"/>
    <w:rsid w:val="6E6C05C3"/>
    <w:rsid w:val="6EA13C00"/>
    <w:rsid w:val="6ED724D0"/>
    <w:rsid w:val="6EF35ABD"/>
    <w:rsid w:val="6EF815EF"/>
    <w:rsid w:val="6F06256A"/>
    <w:rsid w:val="6F14136D"/>
    <w:rsid w:val="6F1774E6"/>
    <w:rsid w:val="6F323A75"/>
    <w:rsid w:val="6F5C46BB"/>
    <w:rsid w:val="6F6B1C1A"/>
    <w:rsid w:val="6F782312"/>
    <w:rsid w:val="6F79782E"/>
    <w:rsid w:val="6FA84C02"/>
    <w:rsid w:val="6FB83A49"/>
    <w:rsid w:val="6FEF783E"/>
    <w:rsid w:val="701E063C"/>
    <w:rsid w:val="701E10CE"/>
    <w:rsid w:val="704953A1"/>
    <w:rsid w:val="70594177"/>
    <w:rsid w:val="70823BE0"/>
    <w:rsid w:val="711A7713"/>
    <w:rsid w:val="71504EB8"/>
    <w:rsid w:val="71593985"/>
    <w:rsid w:val="71A828B3"/>
    <w:rsid w:val="71C174B1"/>
    <w:rsid w:val="71D704B0"/>
    <w:rsid w:val="71EB0BC3"/>
    <w:rsid w:val="722604D6"/>
    <w:rsid w:val="723804CA"/>
    <w:rsid w:val="72BF7364"/>
    <w:rsid w:val="730507E6"/>
    <w:rsid w:val="735B4F35"/>
    <w:rsid w:val="737D49E9"/>
    <w:rsid w:val="73853509"/>
    <w:rsid w:val="748442E7"/>
    <w:rsid w:val="74B1050B"/>
    <w:rsid w:val="75091C64"/>
    <w:rsid w:val="758D6FF9"/>
    <w:rsid w:val="75B61379"/>
    <w:rsid w:val="75DA75CB"/>
    <w:rsid w:val="75F5341F"/>
    <w:rsid w:val="76250680"/>
    <w:rsid w:val="76760DA6"/>
    <w:rsid w:val="768F01E1"/>
    <w:rsid w:val="769C38E0"/>
    <w:rsid w:val="76CE6CD0"/>
    <w:rsid w:val="777634D8"/>
    <w:rsid w:val="77853943"/>
    <w:rsid w:val="77943AD7"/>
    <w:rsid w:val="77AE09E8"/>
    <w:rsid w:val="77CE3F30"/>
    <w:rsid w:val="77D754EF"/>
    <w:rsid w:val="780C588B"/>
    <w:rsid w:val="781D4765"/>
    <w:rsid w:val="787614EB"/>
    <w:rsid w:val="792E168A"/>
    <w:rsid w:val="794107ED"/>
    <w:rsid w:val="79853426"/>
    <w:rsid w:val="798C01F4"/>
    <w:rsid w:val="798C37E3"/>
    <w:rsid w:val="799002BB"/>
    <w:rsid w:val="799D7814"/>
    <w:rsid w:val="79F05D6E"/>
    <w:rsid w:val="79F2051C"/>
    <w:rsid w:val="79FD664D"/>
    <w:rsid w:val="7A1B42A8"/>
    <w:rsid w:val="7A2E1FB1"/>
    <w:rsid w:val="7A3161B6"/>
    <w:rsid w:val="7AB605C5"/>
    <w:rsid w:val="7B1E18AE"/>
    <w:rsid w:val="7B284ECF"/>
    <w:rsid w:val="7B411B47"/>
    <w:rsid w:val="7B4B26D4"/>
    <w:rsid w:val="7B710A28"/>
    <w:rsid w:val="7B736972"/>
    <w:rsid w:val="7B7661A8"/>
    <w:rsid w:val="7B7F367F"/>
    <w:rsid w:val="7BA808A5"/>
    <w:rsid w:val="7BDB347A"/>
    <w:rsid w:val="7C0C5BE5"/>
    <w:rsid w:val="7C643FAB"/>
    <w:rsid w:val="7C7479AB"/>
    <w:rsid w:val="7CC027B1"/>
    <w:rsid w:val="7CE53663"/>
    <w:rsid w:val="7D050953"/>
    <w:rsid w:val="7D4C75F0"/>
    <w:rsid w:val="7D594C3F"/>
    <w:rsid w:val="7D6606FC"/>
    <w:rsid w:val="7DA24965"/>
    <w:rsid w:val="7DA43287"/>
    <w:rsid w:val="7DCC3352"/>
    <w:rsid w:val="7DD53F43"/>
    <w:rsid w:val="7DF4596B"/>
    <w:rsid w:val="7E1A1966"/>
    <w:rsid w:val="7E205AA7"/>
    <w:rsid w:val="7E3A2EC5"/>
    <w:rsid w:val="7E3B0C9F"/>
    <w:rsid w:val="7E3C6958"/>
    <w:rsid w:val="7E754C35"/>
    <w:rsid w:val="7E9C61C7"/>
    <w:rsid w:val="7EBD6500"/>
    <w:rsid w:val="7EEC715C"/>
    <w:rsid w:val="7EF42CA3"/>
    <w:rsid w:val="7F547970"/>
    <w:rsid w:val="7F856250"/>
    <w:rsid w:val="7F9D38C9"/>
    <w:rsid w:val="7FAA0804"/>
    <w:rsid w:val="7FAF2C51"/>
    <w:rsid w:val="7FB511C6"/>
    <w:rsid w:val="7FD3681D"/>
    <w:rsid w:val="7FEF77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59"/>
    <w:qFormat/>
    <w:uiPriority w:val="0"/>
    <w:pPr>
      <w:keepNext/>
      <w:keepLines/>
      <w:spacing w:line="360" w:lineRule="auto"/>
      <w:outlineLvl w:val="0"/>
    </w:pPr>
    <w:rPr>
      <w:b/>
      <w:bCs/>
      <w:kern w:val="44"/>
      <w:sz w:val="32"/>
      <w:szCs w:val="44"/>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
    <w:pPr>
      <w:keepNext/>
      <w:keepLines/>
      <w:numPr>
        <w:ilvl w:val="2"/>
        <w:numId w:val="1"/>
      </w:numPr>
      <w:ind w:firstLineChars="0"/>
      <w:outlineLvl w:val="2"/>
    </w:pPr>
    <w:rPr>
      <w:b/>
      <w:bCs/>
      <w:szCs w:val="32"/>
    </w:rPr>
  </w:style>
  <w:style w:type="paragraph" w:styleId="5">
    <w:name w:val="heading 4"/>
    <w:basedOn w:val="1"/>
    <w:next w:val="1"/>
    <w:qFormat/>
    <w:uiPriority w:val="0"/>
    <w:pPr>
      <w:keepNext/>
      <w:keepLines/>
      <w:jc w:val="left"/>
      <w:outlineLvl w:val="3"/>
    </w:pPr>
    <w:rPr>
      <w:b/>
      <w:bCs/>
      <w:szCs w:val="28"/>
    </w:rPr>
  </w:style>
  <w:style w:type="character" w:default="1" w:styleId="27">
    <w:name w:val="Default Paragraph Font"/>
    <w:link w:val="28"/>
    <w:semiHidden/>
    <w:unhideWhenUsed/>
    <w:qFormat/>
    <w:uiPriority w:val="1"/>
    <w:rPr>
      <w:rFonts w:eastAsia="宋体"/>
      <w:sz w:val="21"/>
    </w:rPr>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6">
    <w:name w:val="toc 7"/>
    <w:basedOn w:val="1"/>
    <w:next w:val="1"/>
    <w:qFormat/>
    <w:uiPriority w:val="0"/>
    <w:pPr>
      <w:ind w:left="1260"/>
      <w:jc w:val="left"/>
    </w:pPr>
    <w:rPr>
      <w:sz w:val="18"/>
      <w:szCs w:val="18"/>
    </w:rPr>
  </w:style>
  <w:style w:type="paragraph" w:styleId="7">
    <w:name w:val="Body Text First Indent"/>
    <w:basedOn w:val="8"/>
    <w:qFormat/>
    <w:uiPriority w:val="0"/>
    <w:pPr>
      <w:adjustRightInd w:val="0"/>
      <w:snapToGrid w:val="0"/>
      <w:spacing w:after="0" w:line="312" w:lineRule="auto"/>
      <w:ind w:firstLine="567"/>
      <w:jc w:val="left"/>
      <w:textAlignment w:val="baseline"/>
    </w:pPr>
    <w:rPr>
      <w:rFonts w:ascii="Calibri" w:hAnsi="Calibri"/>
      <w:kern w:val="0"/>
      <w:sz w:val="20"/>
      <w:szCs w:val="20"/>
    </w:rPr>
  </w:style>
  <w:style w:type="paragraph" w:styleId="8">
    <w:name w:val="Body Text"/>
    <w:basedOn w:val="1"/>
    <w:next w:val="9"/>
    <w:qFormat/>
    <w:uiPriority w:val="0"/>
    <w:pPr>
      <w:spacing w:line="360" w:lineRule="auto"/>
    </w:pPr>
    <w:rPr>
      <w:rFonts w:ascii="宋体"/>
      <w:color w:val="000000"/>
      <w:kern w:val="0"/>
      <w:sz w:val="24"/>
      <w:szCs w:val="20"/>
    </w:rPr>
  </w:style>
  <w:style w:type="paragraph" w:customStyle="1" w:styleId="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10">
    <w:name w:val="index 8"/>
    <w:basedOn w:val="1"/>
    <w:next w:val="1"/>
    <w:qFormat/>
    <w:uiPriority w:val="0"/>
    <w:pPr>
      <w:tabs>
        <w:tab w:val="right" w:leader="dot" w:pos="9346"/>
      </w:tabs>
      <w:ind w:left="3920" w:leftChars="1400"/>
      <w:jc w:val="left"/>
    </w:pPr>
  </w:style>
  <w:style w:type="paragraph" w:styleId="11">
    <w:name w:val="Normal Indent"/>
    <w:basedOn w:val="1"/>
    <w:next w:val="1"/>
    <w:qFormat/>
    <w:uiPriority w:val="0"/>
    <w:pPr>
      <w:spacing w:before="25" w:beforeLines="25" w:after="25" w:afterLines="25" w:line="300" w:lineRule="auto"/>
    </w:pPr>
    <w:rPr>
      <w:rFonts w:ascii="Times" w:hAnsi="Times"/>
      <w:szCs w:val="20"/>
    </w:rPr>
  </w:style>
  <w:style w:type="paragraph" w:styleId="12">
    <w:name w:val="Document Map"/>
    <w:basedOn w:val="1"/>
    <w:link w:val="41"/>
    <w:qFormat/>
    <w:uiPriority w:val="0"/>
    <w:rPr>
      <w:rFonts w:ascii="宋体"/>
      <w:sz w:val="18"/>
      <w:szCs w:val="18"/>
    </w:rPr>
  </w:style>
  <w:style w:type="paragraph" w:styleId="13">
    <w:name w:val="annotation text"/>
    <w:basedOn w:val="1"/>
    <w:unhideWhenUsed/>
    <w:qFormat/>
    <w:uiPriority w:val="0"/>
    <w:pPr>
      <w:jc w:val="left"/>
    </w:pPr>
  </w:style>
  <w:style w:type="paragraph" w:styleId="14">
    <w:name w:val="Body Text Indent"/>
    <w:basedOn w:val="1"/>
    <w:next w:val="1"/>
    <w:qFormat/>
    <w:uiPriority w:val="99"/>
    <w:pPr>
      <w:spacing w:before="50" w:after="50" w:line="300" w:lineRule="auto"/>
      <w:ind w:firstLine="420" w:firstLineChars="200"/>
    </w:pPr>
    <w:rPr>
      <w:rFonts w:ascii="宋体" w:hAnsi="宋体"/>
      <w:sz w:val="24"/>
      <w:szCs w:val="24"/>
      <w:lang w:val="zh-CN"/>
    </w:rPr>
  </w:style>
  <w:style w:type="paragraph" w:styleId="15">
    <w:name w:val="Plain Text"/>
    <w:basedOn w:val="1"/>
    <w:qFormat/>
    <w:uiPriority w:val="0"/>
    <w:rPr>
      <w:rFonts w:ascii="宋体" w:hAnsi="Courier New"/>
      <w:sz w:val="18"/>
    </w:rPr>
  </w:style>
  <w:style w:type="paragraph" w:styleId="16">
    <w:name w:val="Date"/>
    <w:basedOn w:val="1"/>
    <w:next w:val="1"/>
    <w:qFormat/>
    <w:uiPriority w:val="0"/>
    <w:pPr>
      <w:ind w:left="100" w:leftChars="2500"/>
    </w:pPr>
  </w:style>
  <w:style w:type="paragraph" w:styleId="17">
    <w:name w:val="Body Text Indent 2"/>
    <w:basedOn w:val="1"/>
    <w:qFormat/>
    <w:uiPriority w:val="0"/>
    <w:pPr>
      <w:widowControl/>
      <w:adjustRightInd w:val="0"/>
      <w:snapToGrid w:val="0"/>
      <w:spacing w:before="100" w:beforeAutospacing="1" w:after="100" w:afterAutospacing="1" w:line="360" w:lineRule="auto"/>
      <w:ind w:firstLine="600"/>
    </w:pPr>
    <w:rPr>
      <w:rFonts w:ascii="仿宋_GB2312" w:hAnsi="宋体" w:eastAsia="仿宋_GB2312"/>
      <w:color w:val="FF6600"/>
      <w:kern w:val="0"/>
      <w:sz w:val="29"/>
    </w:rPr>
  </w:style>
  <w:style w:type="paragraph" w:styleId="18">
    <w:name w:val="Balloon Text"/>
    <w:basedOn w:val="1"/>
    <w:link w:val="42"/>
    <w:qFormat/>
    <w:uiPriority w:val="0"/>
    <w:rPr>
      <w:sz w:val="18"/>
      <w:szCs w:val="18"/>
    </w:rPr>
  </w:style>
  <w:style w:type="paragraph" w:styleId="19">
    <w:name w:val="footer"/>
    <w:basedOn w:val="1"/>
    <w:link w:val="37"/>
    <w:qFormat/>
    <w:uiPriority w:val="0"/>
    <w:pPr>
      <w:tabs>
        <w:tab w:val="center" w:pos="4153"/>
        <w:tab w:val="right" w:pos="8306"/>
      </w:tabs>
      <w:snapToGrid w:val="0"/>
      <w:jc w:val="left"/>
    </w:pPr>
    <w:rPr>
      <w:sz w:val="18"/>
      <w:szCs w:val="18"/>
    </w:rPr>
  </w:style>
  <w:style w:type="paragraph" w:styleId="20">
    <w:name w:val="envelope return"/>
    <w:basedOn w:val="1"/>
    <w:qFormat/>
    <w:uiPriority w:val="0"/>
    <w:pPr>
      <w:snapToGrid w:val="0"/>
    </w:pPr>
    <w:rPr>
      <w:rFonts w:ascii="Arial" w:hAnsi="Arial"/>
    </w:rPr>
  </w:style>
  <w:style w:type="paragraph" w:styleId="21">
    <w:name w:val="Body Text First Indent 2"/>
    <w:basedOn w:val="14"/>
    <w:next w:val="6"/>
    <w:qFormat/>
    <w:uiPriority w:val="99"/>
    <w:pPr>
      <w:spacing w:before="0" w:after="120" w:line="240" w:lineRule="auto"/>
      <w:ind w:left="420" w:firstLine="0" w:firstLineChars="0"/>
    </w:pPr>
    <w:rPr>
      <w:rFonts w:ascii="Times New Roman" w:hAnsi="Times New Roman"/>
      <w:szCs w:val="20"/>
    </w:rPr>
  </w:style>
  <w:style w:type="paragraph" w:styleId="22">
    <w:name w:val="header"/>
    <w:basedOn w:val="1"/>
    <w:next w:val="1"/>
    <w:link w:val="3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pPr>
      <w:tabs>
        <w:tab w:val="left" w:pos="1120"/>
        <w:tab w:val="right" w:leader="dot" w:pos="9345"/>
      </w:tabs>
      <w:spacing w:before="156" w:beforeLines="50" w:beforeAutospacing="0" w:after="156" w:afterLines="50" w:afterAutospacing="0" w:line="360" w:lineRule="auto"/>
    </w:pPr>
    <w:rPr>
      <w:rFonts w:ascii="Times" w:hAnsi="Times"/>
      <w:b/>
      <w:sz w:val="28"/>
    </w:rPr>
  </w:style>
  <w:style w:type="paragraph" w:styleId="24">
    <w:name w:val="toc 2"/>
    <w:basedOn w:val="1"/>
    <w:next w:val="1"/>
    <w:qFormat/>
    <w:uiPriority w:val="0"/>
    <w:pPr>
      <w:ind w:left="420" w:leftChars="200"/>
    </w:pPr>
  </w:style>
  <w:style w:type="paragraph" w:styleId="25">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paragraph" w:styleId="26">
    <w:name w:val="Title"/>
    <w:basedOn w:val="1"/>
    <w:qFormat/>
    <w:uiPriority w:val="10"/>
    <w:pPr>
      <w:jc w:val="center"/>
    </w:pPr>
    <w:rPr>
      <w:rFonts w:eastAsia="黑体"/>
      <w:sz w:val="52"/>
    </w:rPr>
  </w:style>
  <w:style w:type="paragraph" w:customStyle="1" w:styleId="28">
    <w:name w:val=" Char Char Char Char Char Char Char Char Char"/>
    <w:basedOn w:val="1"/>
    <w:link w:val="27"/>
    <w:qFormat/>
    <w:uiPriority w:val="0"/>
    <w:rPr>
      <w:rFonts w:eastAsia="宋体"/>
      <w:sz w:val="21"/>
    </w:rPr>
  </w:style>
  <w:style w:type="character" w:styleId="29">
    <w:name w:val="Strong"/>
    <w:basedOn w:val="27"/>
    <w:qFormat/>
    <w:uiPriority w:val="22"/>
    <w:rPr>
      <w:b/>
      <w:bCs/>
    </w:rPr>
  </w:style>
  <w:style w:type="character" w:styleId="30">
    <w:name w:val="page number"/>
    <w:basedOn w:val="27"/>
    <w:qFormat/>
    <w:uiPriority w:val="0"/>
  </w:style>
  <w:style w:type="table" w:styleId="32">
    <w:name w:val="Table Grid"/>
    <w:basedOn w:val="31"/>
    <w:qFormat/>
    <w:uiPriority w:val="0"/>
    <w:rPr>
      <w:rFonts w:ascii="Calibri" w:hAnsi="Calibr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33">
    <w:name w:val="Fließtext"/>
    <w:basedOn w:val="1"/>
    <w:qFormat/>
    <w:uiPriority w:val="99"/>
    <w:pPr>
      <w:overflowPunct w:val="0"/>
      <w:autoSpaceDE w:val="0"/>
      <w:autoSpaceDN w:val="0"/>
      <w:adjustRightInd w:val="0"/>
      <w:textAlignment w:val="baseline"/>
    </w:pPr>
    <w:rPr>
      <w:kern w:val="28"/>
      <w:szCs w:val="20"/>
    </w:rPr>
  </w:style>
  <w:style w:type="paragraph" w:customStyle="1" w:styleId="34">
    <w:name w:val="正文缩进1"/>
    <w:basedOn w:val="1"/>
    <w:qFormat/>
    <w:uiPriority w:val="0"/>
    <w:pPr>
      <w:spacing w:line="500" w:lineRule="exact"/>
      <w:ind w:firstLine="420"/>
    </w:pPr>
    <w:rPr>
      <w:sz w:val="28"/>
    </w:rPr>
  </w:style>
  <w:style w:type="paragraph" w:customStyle="1" w:styleId="35">
    <w:name w:val="样式 标题 2 + Times New Roman 四号 非加粗 段前: 5 磅 段后: 0 磅 行距: 固定值 20..."/>
    <w:basedOn w:val="2"/>
    <w:next w:val="1"/>
    <w:qFormat/>
    <w:uiPriority w:val="0"/>
    <w:pPr>
      <w:spacing w:before="100" w:after="0" w:line="400" w:lineRule="exact"/>
    </w:pPr>
    <w:rPr>
      <w:rFonts w:ascii="Times New Roman" w:hAnsi="Times New Roman" w:eastAsia="黑体" w:cs="宋体"/>
      <w:b w:val="0"/>
      <w:bCs w:val="0"/>
      <w:sz w:val="28"/>
      <w:szCs w:val="20"/>
    </w:rPr>
  </w:style>
  <w:style w:type="character" w:customStyle="1" w:styleId="36">
    <w:name w:val="页眉 Char"/>
    <w:basedOn w:val="27"/>
    <w:link w:val="22"/>
    <w:qFormat/>
    <w:uiPriority w:val="0"/>
    <w:rPr>
      <w:rFonts w:ascii="Times New Roman" w:hAnsi="Times New Roman"/>
      <w:kern w:val="2"/>
      <w:sz w:val="18"/>
      <w:szCs w:val="18"/>
    </w:rPr>
  </w:style>
  <w:style w:type="character" w:customStyle="1" w:styleId="37">
    <w:name w:val="页脚 Char"/>
    <w:basedOn w:val="27"/>
    <w:link w:val="19"/>
    <w:qFormat/>
    <w:uiPriority w:val="0"/>
    <w:rPr>
      <w:rFonts w:ascii="Times New Roman" w:hAnsi="Times New Roman"/>
      <w:kern w:val="2"/>
      <w:sz w:val="18"/>
      <w:szCs w:val="18"/>
    </w:rPr>
  </w:style>
  <w:style w:type="paragraph" w:styleId="38">
    <w:name w:val="List Paragraph"/>
    <w:basedOn w:val="1"/>
    <w:qFormat/>
    <w:uiPriority w:val="34"/>
    <w:pPr>
      <w:ind w:firstLine="420" w:firstLineChars="200"/>
    </w:pPr>
  </w:style>
  <w:style w:type="paragraph" w:customStyle="1" w:styleId="39">
    <w:name w:val="CM99"/>
    <w:basedOn w:val="9"/>
    <w:next w:val="9"/>
    <w:qFormat/>
    <w:uiPriority w:val="0"/>
    <w:pPr>
      <w:spacing w:after="443"/>
    </w:pPr>
    <w:rPr>
      <w:color w:val="auto"/>
    </w:rPr>
  </w:style>
  <w:style w:type="paragraph" w:customStyle="1" w:styleId="40">
    <w:name w:val="表格5"/>
    <w:next w:val="1"/>
    <w:qFormat/>
    <w:uiPriority w:val="0"/>
    <w:pPr>
      <w:spacing w:line="400" w:lineRule="exact"/>
      <w:jc w:val="center"/>
    </w:pPr>
    <w:rPr>
      <w:rFonts w:ascii="Times New Roman" w:hAnsi="Times New Roman" w:eastAsia="宋体" w:cs="Times New Roman"/>
      <w:kern w:val="2"/>
      <w:sz w:val="21"/>
      <w:lang w:val="en-US" w:eastAsia="zh-CN" w:bidi="ar-SA"/>
    </w:rPr>
  </w:style>
  <w:style w:type="character" w:customStyle="1" w:styleId="41">
    <w:name w:val="文档结构图 Char"/>
    <w:basedOn w:val="27"/>
    <w:link w:val="12"/>
    <w:qFormat/>
    <w:uiPriority w:val="0"/>
    <w:rPr>
      <w:rFonts w:ascii="宋体"/>
      <w:kern w:val="2"/>
      <w:sz w:val="18"/>
      <w:szCs w:val="18"/>
    </w:rPr>
  </w:style>
  <w:style w:type="character" w:customStyle="1" w:styleId="42">
    <w:name w:val="批注框文本 Char"/>
    <w:basedOn w:val="27"/>
    <w:link w:val="18"/>
    <w:qFormat/>
    <w:uiPriority w:val="0"/>
    <w:rPr>
      <w:kern w:val="2"/>
      <w:sz w:val="18"/>
      <w:szCs w:val="18"/>
    </w:rPr>
  </w:style>
  <w:style w:type="character" w:customStyle="1" w:styleId="43">
    <w:name w:val="15"/>
    <w:basedOn w:val="27"/>
    <w:qFormat/>
    <w:uiPriority w:val="0"/>
    <w:rPr>
      <w:rFonts w:hint="eastAsia" w:ascii="宋体" w:hAnsi="宋体" w:eastAsia="宋体"/>
      <w:color w:val="000000"/>
    </w:rPr>
  </w:style>
  <w:style w:type="paragraph" w:customStyle="1" w:styleId="44">
    <w:name w:val="样式11"/>
    <w:basedOn w:val="1"/>
    <w:qFormat/>
    <w:uiPriority w:val="0"/>
    <w:pPr>
      <w:snapToGrid w:val="0"/>
      <w:spacing w:line="400" w:lineRule="exact"/>
      <w:ind w:firstLine="420" w:firstLineChars="200"/>
    </w:pPr>
    <w:rPr>
      <w:rFonts w:hAnsi="宋体"/>
      <w:szCs w:val="21"/>
    </w:rPr>
  </w:style>
  <w:style w:type="character" w:customStyle="1" w:styleId="45">
    <w:name w:val="wyg"/>
    <w:basedOn w:val="27"/>
    <w:qFormat/>
    <w:uiPriority w:val="0"/>
  </w:style>
  <w:style w:type="character" w:customStyle="1" w:styleId="46">
    <w:name w:val="font21"/>
    <w:basedOn w:val="27"/>
    <w:qFormat/>
    <w:uiPriority w:val="0"/>
    <w:rPr>
      <w:rFonts w:hint="default" w:ascii="Times New Roman" w:hAnsi="Times New Roman" w:cs="Times New Roman"/>
      <w:color w:val="000000"/>
      <w:sz w:val="21"/>
      <w:szCs w:val="21"/>
      <w:u w:val="none"/>
    </w:rPr>
  </w:style>
  <w:style w:type="character" w:customStyle="1" w:styleId="47">
    <w:name w:val="font01"/>
    <w:basedOn w:val="27"/>
    <w:qFormat/>
    <w:uiPriority w:val="0"/>
    <w:rPr>
      <w:rFonts w:hint="eastAsia" w:ascii="宋体" w:hAnsi="宋体" w:eastAsia="宋体" w:cs="宋体"/>
      <w:color w:val="000000"/>
      <w:sz w:val="21"/>
      <w:szCs w:val="21"/>
      <w:u w:val="none"/>
    </w:rPr>
  </w:style>
  <w:style w:type="character" w:customStyle="1" w:styleId="48">
    <w:name w:val="font11"/>
    <w:basedOn w:val="27"/>
    <w:qFormat/>
    <w:uiPriority w:val="0"/>
    <w:rPr>
      <w:rFonts w:hint="eastAsia" w:ascii="宋体" w:hAnsi="宋体" w:eastAsia="宋体" w:cs="宋体"/>
      <w:color w:val="000000"/>
      <w:sz w:val="22"/>
      <w:szCs w:val="22"/>
      <w:u w:val="none"/>
    </w:rPr>
  </w:style>
  <w:style w:type="paragraph" w:customStyle="1" w:styleId="49">
    <w:name w:val="表格标题"/>
    <w:basedOn w:val="1"/>
    <w:qFormat/>
    <w:uiPriority w:val="0"/>
    <w:pPr>
      <w:spacing w:before="0" w:after="0" w:line="220" w:lineRule="exact"/>
    </w:pPr>
    <w:rPr>
      <w:rFonts w:eastAsia="黑体"/>
      <w:color w:val="007CA8"/>
      <w:kern w:val="0"/>
      <w:szCs w:val="13"/>
    </w:rPr>
  </w:style>
  <w:style w:type="paragraph" w:customStyle="1" w:styleId="50">
    <w:name w:val="表格内文"/>
    <w:basedOn w:val="1"/>
    <w:qFormat/>
    <w:uiPriority w:val="0"/>
    <w:pPr>
      <w:spacing w:before="0" w:after="0" w:line="200" w:lineRule="exact"/>
      <w:jc w:val="left"/>
    </w:pPr>
    <w:rPr>
      <w:rFonts w:eastAsia="宋体"/>
      <w:kern w:val="0"/>
    </w:rPr>
  </w:style>
  <w:style w:type="paragraph" w:customStyle="1" w:styleId="51">
    <w:name w:val="纯文本1"/>
    <w:basedOn w:val="1"/>
    <w:qFormat/>
    <w:uiPriority w:val="0"/>
    <w:pPr>
      <w:spacing w:line="360" w:lineRule="atLeast"/>
      <w:textAlignment w:val="baseline"/>
    </w:pPr>
    <w:rPr>
      <w:rFonts w:ascii="宋体" w:hAnsi="Courier New"/>
    </w:rPr>
  </w:style>
  <w:style w:type="paragraph" w:customStyle="1" w:styleId="52">
    <w:name w:val="国标3级"/>
    <w:basedOn w:val="1"/>
    <w:semiHidden/>
    <w:qFormat/>
    <w:uiPriority w:val="0"/>
    <w:pPr>
      <w:snapToGrid w:val="0"/>
      <w:spacing w:line="312" w:lineRule="exact"/>
    </w:pPr>
    <w:rPr>
      <w:rFonts w:ascii="宋体" w:hAnsi="宋体"/>
      <w:color w:val="000000"/>
    </w:rPr>
  </w:style>
  <w:style w:type="paragraph" w:customStyle="1" w:styleId="53">
    <w:name w:val="列表段落1"/>
    <w:basedOn w:val="1"/>
    <w:qFormat/>
    <w:uiPriority w:val="34"/>
    <w:pPr>
      <w:ind w:firstLine="420" w:firstLineChars="200"/>
    </w:pPr>
  </w:style>
  <w:style w:type="paragraph" w:customStyle="1" w:styleId="54">
    <w:name w:val="列出段落1"/>
    <w:basedOn w:val="1"/>
    <w:qFormat/>
    <w:uiPriority w:val="34"/>
    <w:pPr>
      <w:widowControl/>
      <w:spacing w:line="300" w:lineRule="auto"/>
      <w:ind w:firstLine="420" w:firstLineChars="200"/>
    </w:pPr>
    <w:rPr>
      <w:rFonts w:ascii="Arial" w:hAnsi="Arial"/>
      <w:kern w:val="0"/>
      <w:sz w:val="18"/>
    </w:rPr>
  </w:style>
  <w:style w:type="paragraph" w:customStyle="1" w:styleId="55">
    <w:name w:val="NERCIS-正文"/>
    <w:basedOn w:val="1"/>
    <w:qFormat/>
    <w:uiPriority w:val="0"/>
    <w:pPr>
      <w:spacing w:line="360" w:lineRule="auto"/>
      <w:ind w:firstLine="480" w:firstLineChars="200"/>
    </w:pPr>
    <w:rPr>
      <w:rFonts w:ascii="宋体" w:hAnsi="宋体"/>
      <w:kern w:val="0"/>
      <w:sz w:val="24"/>
    </w:rPr>
  </w:style>
  <w:style w:type="paragraph" w:customStyle="1" w:styleId="56">
    <w:name w:val="样式2"/>
    <w:basedOn w:val="23"/>
    <w:qFormat/>
    <w:uiPriority w:val="0"/>
    <w:pPr>
      <w:widowControl w:val="0"/>
      <w:tabs>
        <w:tab w:val="right" w:leader="dot" w:pos="8392"/>
      </w:tabs>
      <w:spacing w:before="120" w:beforeLines="0" w:beforeAutospacing="0" w:after="120" w:afterLines="0" w:afterAutospacing="0" w:line="0" w:lineRule="atLeast"/>
      <w:jc w:val="center"/>
      <w:outlineLvl w:val="0"/>
    </w:pPr>
    <w:rPr>
      <w:caps/>
      <w:kern w:val="2"/>
      <w:sz w:val="32"/>
    </w:rPr>
  </w:style>
  <w:style w:type="paragraph" w:customStyle="1" w:styleId="57">
    <w:name w:val="Table Paragraph"/>
    <w:basedOn w:val="1"/>
    <w:qFormat/>
    <w:uiPriority w:val="0"/>
    <w:pPr>
      <w:autoSpaceDE w:val="0"/>
      <w:autoSpaceDN w:val="0"/>
      <w:jc w:val="left"/>
    </w:pPr>
    <w:rPr>
      <w:rFonts w:ascii="宋体" w:hAnsi="宋体" w:cs="宋体"/>
      <w:kern w:val="0"/>
      <w:sz w:val="22"/>
      <w:szCs w:val="22"/>
      <w:lang w:val="zh-CN" w:bidi="zh-CN"/>
    </w:rPr>
  </w:style>
  <w:style w:type="paragraph" w:customStyle="1" w:styleId="58">
    <w:name w:val=" Char1 Char Char Char Char Char"/>
    <w:basedOn w:val="1"/>
    <w:qFormat/>
    <w:uiPriority w:val="0"/>
    <w:pPr>
      <w:spacing w:line="240" w:lineRule="auto"/>
    </w:pPr>
    <w:rPr>
      <w:rFonts w:eastAsia="宋体"/>
      <w:sz w:val="21"/>
      <w:szCs w:val="24"/>
    </w:rPr>
  </w:style>
  <w:style w:type="character" w:customStyle="1" w:styleId="59">
    <w:name w:val="标题 1 字符"/>
    <w:link w:val="3"/>
    <w:qFormat/>
    <w:uiPriority w:val="0"/>
    <w:rPr>
      <w:b/>
      <w:bCs/>
      <w:kern w:val="44"/>
      <w:sz w:val="32"/>
      <w:szCs w:val="44"/>
    </w:rPr>
  </w:style>
  <w:style w:type="paragraph" w:customStyle="1" w:styleId="60">
    <w:name w:val="T正文"/>
    <w:qFormat/>
    <w:uiPriority w:val="0"/>
    <w:pPr>
      <w:widowControl w:val="0"/>
      <w:adjustRightInd w:val="0"/>
      <w:snapToGrid w:val="0"/>
      <w:spacing w:line="360" w:lineRule="auto"/>
      <w:ind w:firstLine="200" w:firstLineChars="200"/>
      <w:jc w:val="both"/>
    </w:pPr>
    <w:rPr>
      <w:rFonts w:ascii="Times New Roman" w:hAnsi="Times New Roman" w:eastAsia="宋体" w:cs="Times New Roman"/>
      <w:sz w:val="24"/>
      <w:szCs w:val="22"/>
      <w:lang w:val="en-US" w:eastAsia="zh-CN" w:bidi="ar-SA"/>
    </w:rPr>
  </w:style>
  <w:style w:type="paragraph" w:customStyle="1" w:styleId="61">
    <w:name w:val="表文字"/>
    <w:basedOn w:val="1"/>
    <w:qFormat/>
    <w:uiPriority w:val="0"/>
    <w:pPr>
      <w:adjustRightInd w:val="0"/>
      <w:snapToGrid w:val="0"/>
      <w:jc w:val="center"/>
    </w:pPr>
    <w:rPr>
      <w:iCs/>
      <w:kern w:val="0"/>
      <w:szCs w:val="20"/>
    </w:rPr>
  </w:style>
  <w:style w:type="paragraph" w:customStyle="1" w:styleId="62">
    <w:name w:val="我的正文"/>
    <w:basedOn w:val="1"/>
    <w:qFormat/>
    <w:uiPriority w:val="0"/>
    <w:pPr>
      <w:adjustRightInd w:val="0"/>
      <w:spacing w:line="360" w:lineRule="auto"/>
      <w:ind w:firstLine="480" w:firstLineChars="200"/>
      <w:textAlignment w:val="baseline"/>
    </w:pPr>
    <w:rPr>
      <w:kern w:val="0"/>
      <w:sz w:val="24"/>
    </w:rPr>
  </w:style>
  <w:style w:type="paragraph" w:customStyle="1" w:styleId="63">
    <w:name w:val="无间隔1"/>
    <w:qFormat/>
    <w:uiPriority w:val="1"/>
    <w:pPr>
      <w:widowControl w:val="0"/>
      <w:spacing w:after="160" w:line="259" w:lineRule="auto"/>
      <w:ind w:firstLine="200" w:firstLineChars="200"/>
      <w:jc w:val="both"/>
    </w:pPr>
    <w:rPr>
      <w:rFonts w:ascii="Times New Roman" w:hAnsi="Times New Roman" w:eastAsia="仿宋" w:cs="Times New Roman"/>
      <w:kern w:val="2"/>
      <w:sz w:val="28"/>
      <w:szCs w:val="22"/>
      <w:lang w:val="en-US" w:eastAsia="zh-CN" w:bidi="ar-SA"/>
    </w:rPr>
  </w:style>
  <w:style w:type="paragraph" w:customStyle="1" w:styleId="64">
    <w:name w:val="无间隔11"/>
    <w:qFormat/>
    <w:uiPriority w:val="1"/>
    <w:pPr>
      <w:widowControl w:val="0"/>
      <w:ind w:firstLine="200" w:firstLineChars="200"/>
      <w:jc w:val="both"/>
    </w:pPr>
    <w:rPr>
      <w:rFonts w:ascii="Times New Roman" w:hAnsi="Times New Roman" w:eastAsia="仿宋" w:cs="Times New Roman"/>
      <w:sz w:val="28"/>
      <w:szCs w:val="22"/>
      <w:lang w:val="en-US" w:eastAsia="zh-CN" w:bidi="ar-SA"/>
    </w:rPr>
  </w:style>
  <w:style w:type="paragraph" w:customStyle="1" w:styleId="65">
    <w:name w:val="图表名"/>
    <w:basedOn w:val="1"/>
    <w:qFormat/>
    <w:uiPriority w:val="0"/>
    <w:pPr>
      <w:adjustRightInd w:val="0"/>
      <w:snapToGrid w:val="0"/>
      <w:spacing w:line="360" w:lineRule="auto"/>
      <w:jc w:val="center"/>
    </w:pPr>
    <w:rPr>
      <w:rFonts w:ascii="宋体" w:hAnsi="Courier New" w:cs="Courier New"/>
      <w:kern w:val="0"/>
    </w:rPr>
  </w:style>
  <w:style w:type="paragraph" w:customStyle="1" w:styleId="66">
    <w:name w:val="报告正文"/>
    <w:basedOn w:val="1"/>
    <w:qFormat/>
    <w:uiPriority w:val="0"/>
    <w:pPr>
      <w:spacing w:after="160" w:line="360" w:lineRule="auto"/>
      <w:ind w:firstLine="200" w:firstLineChars="200"/>
    </w:pPr>
    <w:rPr>
      <w:rFonts w:eastAsia="仿宋"/>
      <w:sz w:val="24"/>
      <w:szCs w:val="22"/>
    </w:rPr>
  </w:style>
  <w:style w:type="paragraph" w:customStyle="1" w:styleId="67">
    <w:name w:val="样式1"/>
    <w:basedOn w:val="1"/>
    <w:qFormat/>
    <w:uiPriority w:val="0"/>
    <w:pPr>
      <w:tabs>
        <w:tab w:val="left" w:pos="360"/>
      </w:tabs>
      <w:autoSpaceDE w:val="0"/>
      <w:autoSpaceDN w:val="0"/>
      <w:adjustRightInd w:val="0"/>
      <w:spacing w:line="288" w:lineRule="auto"/>
    </w:pPr>
    <w:rPr>
      <w:rFonts w:hint="eastAsia" w:ascii="宋体"/>
      <w:spacing w:val="-20"/>
      <w:kern w:val="21"/>
      <w:sz w:val="28"/>
    </w:rPr>
  </w:style>
  <w:style w:type="character" w:customStyle="1" w:styleId="68">
    <w:name w:val="font31"/>
    <w:basedOn w:val="27"/>
    <w:qFormat/>
    <w:uiPriority w:val="0"/>
    <w:rPr>
      <w:rFonts w:hint="eastAsia" w:ascii="宋体" w:hAnsi="宋体" w:eastAsia="宋体" w:cs="宋体"/>
      <w:color w:val="000000"/>
      <w:sz w:val="24"/>
      <w:szCs w:val="24"/>
      <w:u w:val="none"/>
    </w:rPr>
  </w:style>
  <w:style w:type="character" w:customStyle="1" w:styleId="69">
    <w:name w:val="font51"/>
    <w:basedOn w:val="27"/>
    <w:qFormat/>
    <w:uiPriority w:val="0"/>
    <w:rPr>
      <w:rFonts w:hint="eastAsia" w:ascii="宋体" w:hAnsi="宋体" w:eastAsia="宋体" w:cs="宋体"/>
      <w:color w:val="000000"/>
      <w:sz w:val="24"/>
      <w:szCs w:val="24"/>
      <w:u w:val="none"/>
    </w:rPr>
  </w:style>
  <w:style w:type="paragraph" w:customStyle="1" w:styleId="70">
    <w:name w:val="表格文字"/>
    <w:basedOn w:val="1"/>
    <w:qFormat/>
    <w:uiPriority w:val="0"/>
    <w:pPr>
      <w:jc w:val="center"/>
    </w:pPr>
    <w:rPr>
      <w:rFonts w:ascii="楷体_GB2312" w:eastAsia="楷体_GB2312"/>
      <w:sz w:val="24"/>
    </w:rPr>
  </w:style>
  <w:style w:type="paragraph" w:customStyle="1" w:styleId="71">
    <w:name w:val="土城正文"/>
    <w:basedOn w:val="11"/>
    <w:qFormat/>
    <w:uiPriority w:val="0"/>
    <w:pPr>
      <w:spacing w:line="360" w:lineRule="auto"/>
      <w:ind w:firstLine="480"/>
    </w:pPr>
    <w:rPr>
      <w:rFonts w:ascii="宋体" w:hAnsi="宋体"/>
      <w:sz w:val="24"/>
      <w:szCs w:val="20"/>
    </w:rPr>
  </w:style>
  <w:style w:type="paragraph" w:customStyle="1" w:styleId="72">
    <w:name w:val="正文 + 四号"/>
    <w:basedOn w:val="8"/>
    <w:qFormat/>
    <w:uiPriority w:val="0"/>
    <w:pPr>
      <w:spacing w:after="0" w:line="460" w:lineRule="exact"/>
      <w:ind w:left="560" w:hanging="560" w:hangingChars="200"/>
    </w:pPr>
    <w:rPr>
      <w:sz w:val="28"/>
      <w:szCs w:val="28"/>
    </w:rPr>
  </w:style>
  <w:style w:type="paragraph" w:customStyle="1" w:styleId="73">
    <w:name w:val="四级标题"/>
    <w:basedOn w:val="16"/>
    <w:next w:val="74"/>
    <w:qFormat/>
    <w:uiPriority w:val="0"/>
    <w:pPr>
      <w:numPr>
        <w:ilvl w:val="3"/>
        <w:numId w:val="2"/>
      </w:numPr>
      <w:adjustRightInd/>
      <w:spacing w:line="240" w:lineRule="auto"/>
      <w:textAlignment w:val="auto"/>
      <w:outlineLvl w:val="3"/>
    </w:pPr>
    <w:rPr>
      <w:rFonts w:ascii="Times New Roman" w:eastAsia="宋体"/>
      <w:sz w:val="21"/>
      <w:lang w:val="en-US" w:eastAsia="zh-CN"/>
    </w:rPr>
  </w:style>
  <w:style w:type="paragraph" w:customStyle="1" w:styleId="74">
    <w:name w:val="模板正文样式"/>
    <w:qFormat/>
    <w:uiPriority w:val="0"/>
    <w:pPr>
      <w:spacing w:line="360" w:lineRule="auto"/>
      <w:ind w:firstLine="482"/>
    </w:pPr>
    <w:rPr>
      <w:rFonts w:ascii="Times New Roman" w:hAnsi="Times New Roman" w:eastAsia="宋体" w:cs="Times New Roman"/>
      <w:kern w:val="2"/>
      <w:sz w:val="24"/>
      <w:szCs w:val="24"/>
      <w:lang w:val="en-US" w:eastAsia="zh-CN" w:bidi="ar-SA"/>
    </w:rPr>
  </w:style>
  <w:style w:type="paragraph" w:customStyle="1" w:styleId="75">
    <w:name w:val="表头"/>
    <w:basedOn w:val="1"/>
    <w:qFormat/>
    <w:uiPriority w:val="0"/>
    <w:pPr>
      <w:spacing w:before="160" w:after="60" w:line="312" w:lineRule="exact"/>
      <w:jc w:val="center"/>
    </w:pPr>
    <w:rPr>
      <w:rFonts w:ascii="EU-F1" w:eastAsia="黑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PC-20180905KDOA\Desktop\&#21512;&#21516;&#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合同模板.dot</Template>
  <Pages>36</Pages>
  <Words>14246</Words>
  <Characters>15099</Characters>
  <Lines>85</Lines>
  <Paragraphs>24</Paragraphs>
  <TotalTime>32</TotalTime>
  <ScaleCrop>false</ScaleCrop>
  <LinksUpToDate>false</LinksUpToDate>
  <CharactersWithSpaces>16049</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2020-03-31T14:48:00Z</dcterms:created>
  <dc:creator>Allen</dc:creator>
  <cp:lastModifiedBy>弯刀</cp:lastModifiedBy>
  <cp:lastPrinted>2023-11-23T02:55:00Z</cp:lastPrinted>
  <dcterms:modified xsi:type="dcterms:W3CDTF">2025-05-19T07:41:50Z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78D41394D4D841299ECAA8B0F4FFF073_13</vt:lpwstr>
  </property>
  <property fmtid="{D5CDD505-2E9C-101B-9397-08002B2CF9AE}" pid="4" name="KSOTemplateDocerSaveRecord">
    <vt:lpwstr>eyJoZGlkIjoiOGEzMTkzZGI3MjEwZGYwY2E4ZmEwNGVkYjAwOGViNTEiLCJ1c2VySWQiOiI0MzAwODY3MDUifQ==</vt:lpwstr>
  </property>
</Properties>
</file>